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agwek1"/>
        <w:rPr/>
      </w:pPr>
      <w:r>
        <w:rPr>
          <w:rFonts w:ascii="Arial" w:hAnsi="Arial"/>
          <w:b/>
          <w:bCs/>
          <w:sz w:val="24"/>
          <w:szCs w:val="24"/>
        </w:rPr>
        <w:t>KARTA KURSU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tbl>
      <w:tblPr>
        <w:tblW w:w="966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83"/>
        <w:gridCol w:w="7679"/>
      </w:tblGrid>
      <w:tr>
        <w:trPr>
          <w:trHeight w:val="238" w:hRule="atLeast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Nazwa</w:t>
            </w:r>
          </w:p>
        </w:tc>
        <w:tc>
          <w:tcPr>
            <w:tcW w:w="76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60" w:after="6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Koncepcje doświadczenia mistycznego</w:t>
            </w:r>
          </w:p>
        </w:tc>
      </w:tr>
      <w:tr>
        <w:trPr>
          <w:trHeight w:val="222" w:hRule="atLeast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Nazwa w j. ang.</w:t>
            </w:r>
          </w:p>
        </w:tc>
        <w:tc>
          <w:tcPr>
            <w:tcW w:w="76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60" w:after="6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Theories of Mystical Experience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tbl>
      <w:tblPr>
        <w:tblW w:w="9670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89"/>
        <w:gridCol w:w="3190"/>
        <w:gridCol w:w="3291"/>
      </w:tblGrid>
      <w:tr>
        <w:trPr>
          <w:trHeight w:val="218" w:hRule="atLeast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Koordynator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dr Andrzej Serafin</w:t>
            </w:r>
          </w:p>
        </w:tc>
        <w:tc>
          <w:tcPr>
            <w:tcW w:w="32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Zespół dydaktyczny</w:t>
            </w:r>
          </w:p>
        </w:tc>
      </w:tr>
      <w:tr>
        <w:trPr>
          <w:trHeight w:val="218" w:hRule="atLeast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Semestr studiów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II</w:t>
            </w:r>
          </w:p>
        </w:tc>
        <w:tc>
          <w:tcPr>
            <w:tcW w:w="329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Garamond" w:hAnsi="Garamond"/>
                <w:shd w:fill="auto" w:val="clear"/>
              </w:rPr>
              <w:t>3</w:t>
            </w:r>
          </w:p>
        </w:tc>
        <w:tc>
          <w:tcPr>
            <w:tcW w:w="329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Opis kursu (cele kształcenia)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40"/>
      </w:tblGrid>
      <w:tr>
        <w:trPr>
          <w:trHeight w:val="2100" w:hRule="atLeast"/>
        </w:trPr>
        <w:tc>
          <w:tcPr>
            <w:tcW w:w="9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Celem kursu jest zaznajomienie studentów z najważniejszymi koncepcjami i tradycjami doświadczenia mistycznego: student pozna podstawowe pojęcia mistyki, fenomenologiczny oraz neurobiologiczny model doświadczenia mistycznego, jak również teorię odmiennych stanów świadomości. W drugiej części kursu omówione zostaną najważniejsze religijne tradycje mistyczne: grecka, indyjska, arabska, chińska, żydowska oraz chrześcijańska. Dzięki temu student będzie mógł zrozumieć, na czym polega specyfika doświadczenia mistycznego, zarówno w ujęciu religijnym, jak i naukowym.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Warunki wstępne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34"/>
        <w:gridCol w:w="7697"/>
      </w:tblGrid>
      <w:tr>
        <w:trPr>
          <w:trHeight w:val="473" w:hRule="atLeast"/>
        </w:trPr>
        <w:tc>
          <w:tcPr>
            <w:tcW w:w="19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Wiedza</w:t>
            </w:r>
          </w:p>
        </w:tc>
        <w:tc>
          <w:tcPr>
            <w:tcW w:w="76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 xml:space="preserve">Wiedza ogólna nabyta w toku kształcenia w szkole średniej. </w:t>
            </w:r>
            <w:r>
              <w:rPr>
                <w:rFonts w:ascii="Arial" w:hAnsi="Arial"/>
                <w:sz w:val="22"/>
                <w:szCs w:val="22"/>
                <w:shd w:fill="auto" w:val="clear"/>
              </w:rPr>
              <w:t>Znajomość podstawowych problemów i terminów filozoficznych i psychologicznych.</w:t>
            </w:r>
          </w:p>
        </w:tc>
      </w:tr>
      <w:tr>
        <w:trPr>
          <w:trHeight w:val="475" w:hRule="atLeast"/>
        </w:trPr>
        <w:tc>
          <w:tcPr>
            <w:tcW w:w="19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Umiejętności</w:t>
            </w:r>
          </w:p>
        </w:tc>
        <w:tc>
          <w:tcPr>
            <w:tcW w:w="76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19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Kursy</w:t>
            </w:r>
          </w:p>
        </w:tc>
        <w:tc>
          <w:tcPr>
            <w:tcW w:w="76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Wstęp do filozofii, Wprowadzenie do psychologii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Efekty </w:t>
      </w:r>
      <w:r>
        <w:rPr>
          <w:rFonts w:ascii="Arial" w:hAnsi="Arial"/>
          <w:outline w:val="false"/>
          <w:color w:val="000000"/>
          <w:kern w:val="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outline w:val="false"/>
          <w:color w:val="000000"/>
          <w:kern w:val="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się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79"/>
        <w:gridCol w:w="5294"/>
        <w:gridCol w:w="2467"/>
      </w:tblGrid>
      <w:tr>
        <w:trPr>
          <w:trHeight w:val="780" w:hRule="atLeast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Wiedza</w:t>
            </w:r>
          </w:p>
        </w:tc>
        <w:tc>
          <w:tcPr>
            <w:tcW w:w="5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fill="auto" w:val="clear"/>
              </w:rPr>
              <w:t>uczenia się</w:t>
            </w: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 dla kursu</w:t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Odniesienie do efektów kierunkowych</w:t>
            </w:r>
          </w:p>
        </w:tc>
      </w:tr>
      <w:tr>
        <w:trPr>
          <w:trHeight w:val="1688" w:hRule="atLeast"/>
        </w:trPr>
        <w:tc>
          <w:tcPr>
            <w:tcW w:w="1979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W01 – Zna podstawowe koncepcje doświadczenia mistycznego.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W02 </w:t>
            </w:r>
            <w:r>
              <w:rPr>
                <w:rFonts w:ascii="Arial" w:hAnsi="Arial"/>
                <w:sz w:val="20"/>
                <w:szCs w:val="20"/>
              </w:rPr>
              <w:t>– Zna najważniejsze tradycje mistyczne.</w:t>
            </w:r>
          </w:p>
          <w:p>
            <w:pPr>
              <w:pStyle w:val="Normal"/>
              <w:widowControl w:val="false"/>
              <w:spacing w:before="0" w:after="0"/>
              <w:rPr>
                <w:rFonts w:ascii="Verdana" w:hAnsi="Verdana" w:eastAsia="Verdana" w:cs="Verdana"/>
                <w:sz w:val="16"/>
                <w:szCs w:val="16"/>
                <w:shd w:fill="auto" w:val="clear"/>
              </w:rPr>
            </w:pPr>
            <w:r>
              <w:rPr>
                <w:rFonts w:eastAsia="Verdana" w:cs="Verdana" w:ascii="Verdana" w:hAnsi="Verdana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K_W05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K_W10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85"/>
        <w:gridCol w:w="5245"/>
        <w:gridCol w:w="2510"/>
      </w:tblGrid>
      <w:tr>
        <w:trPr>
          <w:trHeight w:val="789" w:hRule="atLeast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Odniesienie do efektów kierunkowych</w:t>
            </w:r>
          </w:p>
        </w:tc>
      </w:tr>
      <w:tr>
        <w:trPr>
          <w:trHeight w:val="1966" w:hRule="atLeast"/>
        </w:trPr>
        <w:tc>
          <w:tcPr>
            <w:tcW w:w="1985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U01 – Potrafi zinterpretować doświadczenie mistyczne z perspektywy religijnej, psychologicznej i filozoficznej.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U02 – Posługuje się wybraną terminologią mistycyzmu.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U03 – Potrafi naukowo wyjaśnić zjawiska religijne o charakterze mistycznym.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K_U02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K_U06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85"/>
        <w:gridCol w:w="5245"/>
        <w:gridCol w:w="2510"/>
      </w:tblGrid>
      <w:tr>
        <w:trPr>
          <w:trHeight w:val="650" w:hRule="atLeast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Efekt uczenia się dla kursu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Odniesienie do efektów kierunkowych</w:t>
            </w:r>
          </w:p>
        </w:tc>
      </w:tr>
      <w:tr>
        <w:trPr>
          <w:trHeight w:val="1834" w:hRule="atLeast"/>
        </w:trPr>
        <w:tc>
          <w:tcPr>
            <w:tcW w:w="1985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K01 – Jest otwarty i tolerancyjny wobec poglądów o charakterze mistycznym.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K02 – Propaguje w życiu społecznym wzorce etyczne wynikające z doświadczeń mistycznych.</w:t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K_K01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K_K02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K_K03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sz w:val="20"/>
                <w:szCs w:val="20"/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K_K04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K_K05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K_K09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125" w:type="dxa"/>
          <w:bottom w:w="80" w:type="dxa"/>
          <w:right w:w="217" w:type="dxa"/>
        </w:tblCellMar>
      </w:tblPr>
      <w:tblGrid>
        <w:gridCol w:w="1603"/>
        <w:gridCol w:w="1223"/>
        <w:gridCol w:w="847"/>
        <w:gridCol w:w="272"/>
        <w:gridCol w:w="859"/>
        <w:gridCol w:w="314"/>
        <w:gridCol w:w="816"/>
        <w:gridCol w:w="283"/>
        <w:gridCol w:w="849"/>
        <w:gridCol w:w="283"/>
        <w:gridCol w:w="845"/>
        <w:gridCol w:w="285"/>
        <w:gridCol w:w="845"/>
        <w:gridCol w:w="307"/>
      </w:tblGrid>
      <w:tr>
        <w:trPr>
          <w:trHeight w:val="267" w:hRule="atLeast"/>
        </w:trPr>
        <w:tc>
          <w:tcPr>
            <w:tcW w:w="9631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ind w:left="45" w:right="137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Organizacja</w:t>
            </w:r>
          </w:p>
        </w:tc>
      </w:tr>
      <w:tr>
        <w:trPr>
          <w:trHeight w:val="497" w:hRule="atLeast"/>
        </w:trPr>
        <w:tc>
          <w:tcPr>
            <w:tcW w:w="1603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Forma zajęć</w:t>
            </w:r>
          </w:p>
        </w:tc>
        <w:tc>
          <w:tcPr>
            <w:tcW w:w="1223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Wykład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(W)</w:t>
            </w:r>
          </w:p>
        </w:tc>
        <w:tc>
          <w:tcPr>
            <w:tcW w:w="6805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Ćwiczenia w grupach</w:t>
            </w:r>
          </w:p>
        </w:tc>
      </w:tr>
      <w:tr>
        <w:trPr>
          <w:trHeight w:val="375" w:hRule="atLeast"/>
        </w:trPr>
        <w:tc>
          <w:tcPr>
            <w:tcW w:w="1603" w:type="dxa"/>
            <w:vMerge w:val="continue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23" w:type="dxa"/>
            <w:vMerge w:val="continue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</w:t>
            </w:r>
          </w:p>
        </w:tc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L</w:t>
            </w:r>
          </w:p>
        </w:tc>
        <w:tc>
          <w:tcPr>
            <w:tcW w:w="2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</w:t>
            </w:r>
          </w:p>
        </w:tc>
        <w:tc>
          <w:tcPr>
            <w:tcW w:w="2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</w:t>
            </w:r>
          </w:p>
        </w:tc>
        <w:tc>
          <w:tcPr>
            <w:tcW w:w="2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E</w:t>
            </w:r>
          </w:p>
        </w:tc>
        <w:tc>
          <w:tcPr>
            <w:tcW w:w="3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16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Liczba godzin</w:t>
            </w:r>
          </w:p>
        </w:tc>
        <w:tc>
          <w:tcPr>
            <w:tcW w:w="12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FFFFFF" w:val="clear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9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60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7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9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/>
      </w:pPr>
      <w:r>
        <w:rPr/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Opis metod prowadzenia zajęć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2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22"/>
      </w:tblGrid>
      <w:tr>
        <w:trPr>
          <w:trHeight w:val="1770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rPr/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Wykład treści merytorycznych oparty na tekstach źródłowych, dyskusja.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>
          <w:rFonts w:ascii="Arial" w:hAnsi="Arial"/>
          <w:sz w:val="22"/>
          <w:szCs w:val="22"/>
        </w:rPr>
        <w:t xml:space="preserve">Formy sprawdzania efektów </w:t>
      </w:r>
      <w:r>
        <w:rPr>
          <w:rFonts w:ascii="Arial" w:hAnsi="Arial"/>
          <w:outline w:val="false"/>
          <w:color w:val="000000"/>
          <w:kern w:val="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outline w:val="false"/>
          <w:color w:val="000000"/>
          <w:kern w:val="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się</w:t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80" w:type="dxa"/>
        <w:jc w:val="left"/>
        <w:tblInd w:w="108" w:type="dxa"/>
        <w:tblLayout w:type="fixed"/>
        <w:tblCellMar>
          <w:top w:w="80" w:type="dxa"/>
          <w:left w:w="193" w:type="dxa"/>
          <w:bottom w:w="80" w:type="dxa"/>
          <w:right w:w="193" w:type="dxa"/>
        </w:tblCellMar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7"/>
        <w:gridCol w:w="666"/>
        <w:gridCol w:w="563"/>
        <w:gridCol w:w="769"/>
        <w:gridCol w:w="665"/>
        <w:gridCol w:w="666"/>
        <w:gridCol w:w="725"/>
      </w:tblGrid>
      <w:tr>
        <w:trPr>
          <w:trHeight w:val="1543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shd w:fill="auto" w:val="clear"/>
                <w:lang w:val="en-US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Udział w dyskusji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Egzamin pisemny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Inne</w:t>
            </w:r>
          </w:p>
        </w:tc>
      </w:tr>
      <w:tr>
        <w:trPr>
          <w:trHeight w:val="300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BalloonText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W01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W02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U01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U02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U03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K01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K02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X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2"/>
                <w:sz w:val="22"/>
                <w:szCs w:val="22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tcMar>
              <w:left w:w="80" w:type="dxa"/>
              <w:right w:w="8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537"/>
        <w:gridCol w:w="1979"/>
        <w:gridCol w:w="1981"/>
        <w:gridCol w:w="1982"/>
        <w:gridCol w:w="2153"/>
      </w:tblGrid>
      <w:tr>
        <w:trPr>
          <w:trHeight w:val="443" w:hRule="atLeast"/>
        </w:trPr>
        <w:tc>
          <w:tcPr>
            <w:tcW w:w="15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sz w:val="16"/>
                <w:szCs w:val="16"/>
                <w:shd w:fill="auto" w:val="clear"/>
              </w:rPr>
              <w:t>Kryteria oceny</w:t>
            </w:r>
          </w:p>
        </w:tc>
        <w:tc>
          <w:tcPr>
            <w:tcW w:w="19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agwkitablic"/>
              <w:widowControl w:val="false"/>
              <w:spacing w:before="0" w:after="0"/>
              <w:rPr/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Na ocenę 2 student: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Na ocenę 3 student: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Na ocenę 4 student:</w:t>
            </w:r>
          </w:p>
        </w:tc>
        <w:tc>
          <w:tcPr>
            <w:tcW w:w="21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Na ocenę 5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student:</w:t>
            </w:r>
          </w:p>
        </w:tc>
      </w:tr>
      <w:tr>
        <w:trPr>
          <w:trHeight w:val="2441" w:hRule="atLeast"/>
        </w:trPr>
        <w:tc>
          <w:tcPr>
            <w:tcW w:w="15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Wiedza </w:t>
            </w:r>
          </w:p>
        </w:tc>
        <w:tc>
          <w:tcPr>
            <w:tcW w:w="19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NIE potrafi, przynajmniej w 50 %, zdefiniować i objaśnić podstawowych pojęć, nie zna najważniejszych problemów i stanowisk filozoficznych.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 przynajmniej 51 % potrafi zdefiniować i objaśnić podstawowe pojęcia, zna najważniejszych problemy i stanowiska filozoficzne.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 przynajmniej 75 % potrafi zdefiniować i objaśnić podstawowe pojęcia, zna najważniejsze problemy i stanowiska filozoficzne.</w:t>
            </w:r>
          </w:p>
        </w:tc>
        <w:tc>
          <w:tcPr>
            <w:tcW w:w="21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 przynajmniej 90 % potrafi zdefiniować i objaśnić podstawowe pojęcia, zna najważniejsze problemy i stanowiska filozoficzne oraz wykazuje zdolności interpretacyjne i komparatystyczne.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 </w:t>
            </w:r>
          </w:p>
        </w:tc>
      </w:tr>
      <w:tr>
        <w:trPr>
          <w:trHeight w:val="3523" w:hRule="atLeast"/>
        </w:trPr>
        <w:tc>
          <w:tcPr>
            <w:tcW w:w="15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Umiejętności</w:t>
            </w:r>
          </w:p>
        </w:tc>
        <w:tc>
          <w:tcPr>
            <w:tcW w:w="19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Student nie potrafi opracować zadanego tematu z zakresu filozofii  w postaci eseju na poziomie minimalnym - 50 %.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Nie uczestniczy w dyskusjach, nie opracowuje indywidualnie tekstów zadanych przez nauczyciela.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Student opracował zadany temat z zakresu filozofii w postaci eseju na poziomie przynajmniej 51 %.  Sporadycznie zabiera głos w dyskusjach, odwołując się do  materiału tekstowego zadanego przez wykładowcę do opracowania indywidualnie.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Student opracował zadany temat z zakresu filozofii w postaci eseju na poziomie przynajmniej 75 %.  Aktywnie uczestniczy w  dyskusjach, odwołując się do  materiału tekstowego zadanego przez wykładowcę do opracowania indywidualnie.</w:t>
            </w:r>
          </w:p>
        </w:tc>
        <w:tc>
          <w:tcPr>
            <w:tcW w:w="21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Student opracował zadany temat z zakresu filozofii w postaci eseju na poziomie przynajmniej 90 %.  Aktywnie uczestniczy w  dyskusjach, odwołując się do  materiału tekstowego zadanego przez wykładowcę do opracowania indywidualnie. </w:t>
            </w:r>
          </w:p>
        </w:tc>
      </w:tr>
      <w:tr>
        <w:trPr>
          <w:trHeight w:val="2891" w:hRule="atLeast"/>
        </w:trPr>
        <w:tc>
          <w:tcPr>
            <w:tcW w:w="15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Kompetencje społeczne</w:t>
            </w:r>
          </w:p>
        </w:tc>
        <w:tc>
          <w:tcPr>
            <w:tcW w:w="19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hd w:fill="auto" w:val="clear"/>
              </w:rPr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Student nie przygotowuje się do zajęć, nie dostrzega potrzeby uczenia się.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 dyskusji przejawia brak zrozumienia innych i tolerancji lub nie zabiera głosu w ogóle.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ahoma" w:hAnsi="Tahoma"/>
                <w:sz w:val="20"/>
                <w:szCs w:val="20"/>
                <w:shd w:fill="auto" w:val="clear"/>
              </w:rPr>
              <w:t>Student wykazuje gotowość i chęć zdobywania wiedzy poprzez  przygotowywanie się do zajęć, sporadyczny udział w dyskusji oraz otwartość wobec innych.</w:t>
            </w:r>
          </w:p>
        </w:tc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ahoma" w:hAnsi="Tahoma"/>
                <w:sz w:val="20"/>
                <w:szCs w:val="20"/>
                <w:shd w:fill="auto" w:val="clear"/>
              </w:rPr>
              <w:t>Student wykazuje gotowość i chęć zdobywania wiedzy poprzez systematyczne przygotowywanie się do zajęć, spontaniczny udział w dyskusji, zdrowy krytycyzm oraz otwartość wobec innych.</w:t>
            </w:r>
            <w:r>
              <w:rPr>
                <w:rFonts w:ascii="Arial" w:hAnsi="Arial"/>
                <w:sz w:val="20"/>
                <w:szCs w:val="20"/>
                <w:shd w:fill="auto" w:val="clear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ahoma" w:hAnsi="Tahoma"/>
                <w:sz w:val="20"/>
                <w:szCs w:val="20"/>
                <w:shd w:fill="auto" w:val="clear"/>
              </w:rPr>
              <w:t>Student wykazuje gotowość i chęć zdobywania wiedzy poprzez systematyczne przygotowywanie się do zajęć, aktywny i twórczy udział w dyskusji, zdrowy krytycyzm oraz otwartość wobec innych.</w:t>
            </w:r>
          </w:p>
        </w:tc>
      </w:tr>
    </w:tbl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34"/>
        <w:gridCol w:w="7697"/>
      </w:tblGrid>
      <w:tr>
        <w:trPr>
          <w:trHeight w:val="2314" w:hRule="atLeast"/>
        </w:trPr>
        <w:tc>
          <w:tcPr>
            <w:tcW w:w="19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Uwagi</w:t>
            </w:r>
          </w:p>
        </w:tc>
        <w:tc>
          <w:tcPr>
            <w:tcW w:w="76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57" w:after="57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fill="auto" w:val="clear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fill="auto" w:val="clear"/>
              </w:rPr>
              <w:t xml:space="preserve"> 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Na ocenę eseju wpływają: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Poprawne pod względem merytorycznym zreferowanie stanowiska (30%)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Poprawne i konsekwentne posługiwanie się terminologią (15%)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Struktura i spójność logiczna (15%)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Racjonalność argumentacji i perswazja (20%)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Stosowanie zasad metodyki pracy naukowej (10%)</w:t>
            </w:r>
          </w:p>
          <w:p>
            <w:pPr>
              <w:pStyle w:val="Zawartotabeli"/>
              <w:widowControl w:val="false"/>
              <w:bidi w:val="0"/>
              <w:spacing w:before="57" w:after="57"/>
              <w:ind w:left="0" w:right="0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Styl i poprawność językowa (10%)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2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22"/>
      </w:tblGrid>
      <w:tr>
        <w:trPr>
          <w:trHeight w:val="3603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Podstawowe pojęcia mistyki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Teologiczne koncepcje mistyki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Filozoficzne koncepcje mistyki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Psychologiczne koncepcje mistyki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Fenomenologia doświadczenia mistycznego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Neurobiologia doświadczenia mistycznego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Odmienne stane świadomości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Mistyka grecka: misteria eleuzyjskie, platonizm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Mistyka indyjska: wedanta, joga, buddyzm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Mistyka arabska: sufizm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Mistyka chińska: taoizm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Mistyka żydowska: kabała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Mistyka chrześcijańska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Mistyka iberoamerykańska</w:t>
            </w:r>
          </w:p>
          <w:p>
            <w:pPr>
              <w:pStyle w:val="Tekstdymka1"/>
              <w:widowControl w:val="false"/>
              <w:numPr>
                <w:ilvl w:val="0"/>
                <w:numId w:val="1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Mistyka świecka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2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22"/>
      </w:tblGrid>
      <w:tr>
        <w:trPr>
          <w:trHeight w:val="5283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B. McGinn, Fundamenty mistyki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D. i J. Carmody, Mistycyzm w wielkich religiach świata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K. Albert, Wprowadzenie do filozoficznej mistyki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M. Gogacz, Filozoficzne aspekty mistyki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P. Czapla, Fenomen doświadczenia mistycznego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M. Piróg, W stronę epistemologii mistyki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J. Sudbrack, Mistyka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R. Otto, Mistyka Wschodu i Zachodu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R. Otto, Zen jako skrajna postać numinotycznego irracjonalizmu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R. Otto, Świętość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M. Eliade, Doświadczenie mistycznego światła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M. Eliade, Przeżycia światłości mistycznej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M. Eliade, Szamanizm i archaiczne techniki ekstazy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W. James, Doświadczenia religijne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M. Maeterlinck, Wielka Tajemnica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 xml:space="preserve">R. Tagore, Sadhana 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 Huxley, Filozofia wieczysta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 Huxley, Minimalna hipoteza robocza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M. Pollan, Jak zmienić swój umysł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 Serafin, Fenomenologia światłości mistycznej Mircei Eliadego</w:t>
            </w:r>
          </w:p>
          <w:p>
            <w:pPr>
              <w:pStyle w:val="Tekstdymka1"/>
              <w:widowControl w:val="false"/>
              <w:numPr>
                <w:ilvl w:val="0"/>
                <w:numId w:val="2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 Serafin, Zapomniany mistyk nadwiślański. O chrześcijańskim platonizmie Krzysztofa Maurina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Wykaz literatury uzupełniającej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72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22"/>
      </w:tblGrid>
      <w:tr>
        <w:trPr>
          <w:trHeight w:val="9363" w:hRule="atLeast"/>
        </w:trPr>
        <w:tc>
          <w:tcPr>
            <w:tcW w:w="9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</w:tcPr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L. Dupré, Mysticism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R. W. Hood, Mysticism 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R. W. Hood et al., The Psychology of Religion, An Empirical Approach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U. A. Asrani, The Psychology oť Mysticism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B. Scharfstein, Mystical Experience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D. M. Wulff, Mystical Experience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 xml:space="preserve">R. D. Laing, Transcendental Experience 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 T. Katz (ed.), Comparative Mysticism, An Anthology of Original Sources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A. Huxley, Readings in Mysticism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A. Huxley, Visionary Experience 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B. Russell, Mysticism and Logic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W. T. Stace, The Teachings of the Mystics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H. A. Reinhold, The Soul Afire: Revelations of the Mystics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M. Buber, Ecstatic Confessions: The Heart of Mysticism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R. C. Zaehner, Mysticism Sacred and Profane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J. White (ed.), The Highest State of Consciousness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F. White, The Overview Effect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R. M. Bucke, From Self to Cosmic Consciousness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R. M. Bucke, Cosmic Consciousness: A Study in the Evolution of the Human Mind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E. G. d’Aquili EG, A. B. Newberg, The Neuropsychology of Aesthetic, Spiritual, and Mystical States.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E. G. d’Aquili EG, A. B. Newberg, </w:t>
            </w:r>
            <w:r>
              <w:rPr>
                <w:rFonts w:ascii="Arial" w:hAnsi="Arial"/>
                <w:sz w:val="22"/>
                <w:szCs w:val="22"/>
                <w:shd w:fill="auto" w:val="clear"/>
              </w:rPr>
              <w:t>The Mystical Mind: Probing the Biology of Religious Experience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D. Goleman, Altered Traits: Science Reveals How Meditation Changes Your Mind, Brain, and Body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N. P. Azari, Neural Correlates of Religious Experience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F. S. Barrett, R. R. Griffiths, Classic Hallucinogens and Mystical Experiences: Phenomenology and Neural Correlates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R. K. Forman , What does mysticism have to teach us about consciousness?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M. Siderits, E. Thompson, Zahavi (red.), Self, no self?: Perspectives from Analytical, Phenomenological, &amp; Indian traditions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S. B. King, Two Epistemological Models for the Interpretation of Mysticism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M. A. Persinger, Neuropsychological Bases of God Beliefs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E. Fales, Do Mystics See God?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E. Fales, Scientific Explanations of Mystical Experiences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R. K. C. Forman, What Does Mysticism Have to Teach Us About Consciousness?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P. Fenwick, The Neurophysiology of Religious Experiences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N. Pike, Mystic Union: An Essay in the Phenomenology of Mysticism</w:t>
            </w:r>
          </w:p>
          <w:p>
            <w:pPr>
              <w:pStyle w:val="Tekstdymka1"/>
              <w:widowControl w:val="false"/>
              <w:numPr>
                <w:ilvl w:val="0"/>
                <w:numId w:val="3"/>
              </w:numPr>
              <w:spacing w:before="0" w:after="0"/>
              <w:ind w:left="622" w:right="0" w:hanging="262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P. Moore, Recent Studies of Mysticism: A Critical Survey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kstdymka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kstdymka1"/>
        <w:rPr/>
      </w:pPr>
      <w:r>
        <w:rPr>
          <w:rFonts w:ascii="Arial" w:hAnsi="Arial"/>
          <w:sz w:val="22"/>
          <w:szCs w:val="22"/>
        </w:rPr>
        <w:t>Bilans godzinowy zgodny z CNPS (Całkowity Nakład Pracy Studenta)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8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766"/>
        <w:gridCol w:w="5750"/>
        <w:gridCol w:w="1166"/>
      </w:tblGrid>
      <w:tr>
        <w:trPr>
          <w:trHeight w:val="223" w:hRule="atLeast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30</w:t>
            </w:r>
          </w:p>
        </w:tc>
      </w:tr>
      <w:tr>
        <w:trPr>
          <w:trHeight w:val="223" w:hRule="atLeast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520" w:hRule="atLeast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15</w:t>
            </w:r>
          </w:p>
        </w:tc>
      </w:tr>
      <w:tr>
        <w:trPr>
          <w:trHeight w:val="223" w:hRule="atLeast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20</w:t>
            </w:r>
          </w:p>
        </w:tc>
      </w:tr>
      <w:tr>
        <w:trPr>
          <w:trHeight w:val="560" w:hRule="atLeast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10</w:t>
            </w:r>
          </w:p>
        </w:tc>
      </w:tr>
      <w:tr>
        <w:trPr>
          <w:trHeight w:val="581" w:hRule="atLeast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766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Przygotowanie do egzaminu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0</w:t>
            </w:r>
          </w:p>
        </w:tc>
      </w:tr>
      <w:tr>
        <w:trPr>
          <w:trHeight w:val="223" w:hRule="atLeast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</w:tr>
      <w:tr>
        <w:trPr>
          <w:trHeight w:val="242" w:hRule="atLeast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Ilość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360" w:right="0"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94035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106941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6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3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7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06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4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7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1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5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6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3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7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06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4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7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1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5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6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3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7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06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42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78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14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502" w:hanging="26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kern w:val="0"/>
        <w:szCs w:val="16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agwek1">
    <w:name w:val="Heading 1"/>
    <w:next w:val="Normal"/>
    <w:qFormat/>
    <w:pPr>
      <w:keepNext w:val="tru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Autospacing="0" w:before="0" w:afterAutospacing="0" w:after="0"/>
      <w:ind w:left="432" w:right="0" w:hanging="432"/>
      <w:jc w:val="center"/>
      <w:outlineLvl w:val="0"/>
    </w:pPr>
    <w:rPr>
      <w:rFonts w:ascii="Verdana" w:hAnsi="Verdan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8"/>
      <w:sz w:val="28"/>
      <w:szCs w:val="28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Zawartotabeli">
    <w:name w:val="Zawartość tabeli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BalloonText">
    <w:name w:val="Balloon Text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ahoma" w:hAnsi="Tahom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16"/>
      <w:sz w:val="16"/>
      <w:szCs w:val="16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Nagwkitablic">
    <w:name w:val="Nagłówki tablic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center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Tekstdymka1">
    <w:name w:val="Tekst dymka1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ahoma" w:hAnsi="Tahom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16"/>
      <w:sz w:val="16"/>
      <w:szCs w:val="16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7</Pages>
  <Words>1287</Words>
  <Characters>7920</Characters>
  <CharactersWithSpaces>8944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2022-05-30T11:31:52Z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