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Warsztaty filozoficzne II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Philosophical Workshop II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IV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rtl w:val="0"/>
              </w:rPr>
              <w:t>2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Celem kursu jest zaznajomienie student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 z najwa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niejszymi koncepcjami staro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ytnej filozofii greckiej w oparciu o wczesn</w:t>
            </w:r>
            <w:r>
              <w:rPr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Fonts w:ascii="Times New Roman" w:hAnsi="Times New Roman"/>
                <w:rtl w:val="0"/>
              </w:rPr>
              <w:t>prac</w:t>
            </w:r>
            <w:r>
              <w:rPr>
                <w:rFonts w:ascii="Times New Roman" w:hAnsi="Times New Roman" w:hint="default"/>
                <w:rtl w:val="0"/>
              </w:rPr>
              <w:t>ę </w:t>
            </w:r>
            <w:r>
              <w:rPr>
                <w:rFonts w:ascii="Times New Roman" w:hAnsi="Times New Roman"/>
                <w:rtl w:val="0"/>
              </w:rPr>
              <w:t xml:space="preserve">Friedricha Nietzschego </w:t>
            </w:r>
            <w:r>
              <w:rPr>
                <w:rFonts w:ascii="Times New Roman" w:hAnsi="Times New Roman" w:hint="default"/>
                <w:rtl w:val="0"/>
              </w:rPr>
              <w:t>“</w:t>
            </w:r>
            <w:r>
              <w:rPr>
                <w:rFonts w:ascii="Times New Roman" w:hAnsi="Times New Roman"/>
                <w:rtl w:val="0"/>
              </w:rPr>
              <w:t>Filozofowie przedplato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scy</w:t>
            </w:r>
            <w:r>
              <w:rPr>
                <w:rFonts w:ascii="Times New Roman" w:hAnsi="Times New Roman" w:hint="default"/>
                <w:rtl w:val="0"/>
              </w:rPr>
              <w:t xml:space="preserve">” </w:t>
            </w:r>
            <w:r>
              <w:rPr>
                <w:rFonts w:ascii="Times New Roman" w:hAnsi="Times New Roman"/>
                <w:rtl w:val="0"/>
              </w:rPr>
              <w:t>i skonfrontowanie odczytania Nietzschego ze wsp</w:t>
            </w:r>
            <w:r>
              <w:rPr>
                <w:rFonts w:ascii="Times New Roman" w:hAnsi="Times New Roman" w:hint="default"/>
                <w:rtl w:val="0"/>
              </w:rPr>
              <w:t>ół</w:t>
            </w:r>
            <w:r>
              <w:rPr>
                <w:rFonts w:ascii="Times New Roman" w:hAnsi="Times New Roman"/>
                <w:rtl w:val="0"/>
              </w:rPr>
              <w:t>czesnymi badaniami historycznymi, w szczeg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lno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 z antologi</w:t>
            </w:r>
            <w:r>
              <w:rPr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Fonts w:ascii="Times New Roman" w:hAnsi="Times New Roman"/>
                <w:rtl w:val="0"/>
              </w:rPr>
              <w:t xml:space="preserve">pod red. Andre Laksa i Glenna Mosta </w:t>
            </w:r>
            <w:r>
              <w:rPr>
                <w:rFonts w:ascii="Times New Roman" w:hAnsi="Times New Roman" w:hint="default"/>
                <w:rtl w:val="0"/>
              </w:rPr>
              <w:t>“</w:t>
            </w:r>
            <w:r>
              <w:rPr>
                <w:rFonts w:ascii="Times New Roman" w:hAnsi="Times New Roman"/>
                <w:rtl w:val="0"/>
              </w:rPr>
              <w:t>Early Greek Philosophy</w:t>
            </w:r>
            <w:r>
              <w:rPr>
                <w:rFonts w:ascii="Times New Roman" w:hAnsi="Times New Roman" w:hint="default"/>
                <w:rtl w:val="0"/>
              </w:rPr>
              <w:t>”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oparty na tekstach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owych, 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0"/>
              <w:spacing w:before="57" w:after="57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cs="Arial" w:hAnsi="Arial" w:eastAsia="Arial"/>
                <w:kern w:val="0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, praca zaliczeniowa</w:t>
            </w:r>
          </w:p>
        </w:tc>
      </w:tr>
    </w:tbl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eseju wp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pod wzgl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dem merytorycznym zreferowanie stanowiska (30%)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i konsekwentne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ugiwanie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Struktura i 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logiczna 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Racjonalno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argumentacji i perswazja (20%)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Stosowanie zasad metodyki pracy naukowej (10%)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Styl i poprawno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zykowa (10%)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Nietzsche,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</w:rPr>
              <w:t>1-5. Wprowadzenie / etap mityczny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Laks-Most II, rozdz. Preliminaries i Background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Laks-Most VI, rozdz. The Derveni Papyrus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Nietzsche,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  <w:lang w:val="pt-PT"/>
              </w:rPr>
              <w:t>9. Pitagoras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</w:rPr>
              <w:t>16. Pitagorejczycy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Laks-Most IV, rozdz. Pythagoras; Pythagorean Doctrines Not Attributed by Name; Pythagoras, Pythagoreans, Pythagoreanism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Nietzsche,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</w:rPr>
              <w:t>10. Heraklit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Laks-Most III, rozdz. Heraclitus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Nietzsche,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</w:rPr>
              <w:t>11. Parmenides i jego poprzednik Ksenofanes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Laks-Most III, rozdz. Xenophanes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Laks-Most V, rozdz. Parmenides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Nietzsche,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</w:rPr>
              <w:t>13. Anaksagoras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Laks-Most VI, rozdz. Anaxagoras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Nietzsche,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</w:rPr>
              <w:t>14. Empedokles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Laks-Most V, rozdz. Empedocles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Nietzsche, </w:t>
            </w:r>
            <w:r>
              <w:rPr>
                <w:sz w:val="20"/>
                <w:szCs w:val="20"/>
                <w:rtl w:val="0"/>
              </w:rPr>
              <w:t xml:space="preserve">§ </w:t>
            </w:r>
            <w:r>
              <w:rPr>
                <w:sz w:val="20"/>
                <w:szCs w:val="20"/>
                <w:rtl w:val="0"/>
              </w:rPr>
              <w:t>15. Leucyp i Demokryt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Laks-Most VII, rozdz. Atomists (Leucippus, Democritus)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Nietzsche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Filozofowie przedplaton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scy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Laks</w:t>
            </w:r>
            <w:r>
              <w:rPr>
                <w:rFonts w:ascii="Arial" w:hAnsi="Arial"/>
                <w:sz w:val="22"/>
                <w:szCs w:val="22"/>
                <w:rtl w:val="0"/>
              </w:rPr>
              <w:t>/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Most,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Early Greek Philosophy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Kirk,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Raven,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Schofield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“</w:t>
            </w:r>
            <w:r>
              <w:rPr>
                <w:rFonts w:ascii="Arial" w:hAnsi="Arial"/>
                <w:sz w:val="22"/>
                <w:szCs w:val="22"/>
                <w:rtl w:val="0"/>
              </w:rPr>
              <w:t>Filozofia przedsokratejska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