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b w:val="1"/>
          <w:bCs w:val="1"/>
          <w:i w:val="1"/>
          <w:iCs w:val="1"/>
          <w:sz w:val="22"/>
          <w:szCs w:val="22"/>
        </w:rPr>
      </w:pPr>
    </w:p>
    <w:p>
      <w:pPr>
        <w:pStyle w:val="Nagłówek 1"/>
      </w:pPr>
      <w:r>
        <w:rPr>
          <w:rFonts w:ascii="Arial" w:hAnsi="Arial"/>
          <w:b w:val="1"/>
          <w:bCs w:val="1"/>
          <w:sz w:val="24"/>
          <w:szCs w:val="24"/>
          <w:rtl w:val="0"/>
        </w:rPr>
        <w:t>KARTA KURSU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6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78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Konwersatorium filozoficzne VII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Philosophical Seminar VII</w:t>
            </w:r>
          </w:p>
        </w:tc>
      </w:tr>
    </w:tbl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</w:pPr>
    </w:p>
    <w:tbl>
      <w:tblPr>
        <w:tblW w:w="9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9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dr Andrzej Serafin</w:t>
            </w:r>
          </w:p>
        </w:tc>
        <w:tc>
          <w:tcPr>
            <w:tcW w:type="dxa" w:w="329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Semestr studi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IV</w:t>
            </w:r>
          </w:p>
        </w:tc>
        <w:tc>
          <w:tcPr>
            <w:tcW w:type="dxa" w:w="329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dr Andrzej Serafin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Garamond" w:hAnsi="Garamond"/>
                <w:rtl w:val="0"/>
              </w:rPr>
              <w:t>1</w:t>
            </w:r>
          </w:p>
        </w:tc>
        <w:tc>
          <w:tcPr>
            <w:tcW w:type="dxa" w:w="329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kursu (cele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1215" w:hRule="atLeast"/>
        </w:trPr>
        <w:tc>
          <w:tcPr>
            <w:tcW w:type="dxa" w:w="974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</w:rPr>
              <w:t>Celem kursu jest zaznajomienie student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w z najwa</w:t>
            </w: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 xml:space="preserve">niejszymi koncepcjami filozofii pitagorejskiej w oparciu o najnowsze </w:t>
            </w:r>
            <w:r>
              <w:rPr>
                <w:rFonts w:ascii="Times New Roman" w:hAnsi="Times New Roman" w:hint="default"/>
                <w:rtl w:val="0"/>
              </w:rPr>
              <w:t>ź</w:t>
            </w:r>
            <w:r>
              <w:rPr>
                <w:rFonts w:ascii="Times New Roman" w:hAnsi="Times New Roman"/>
                <w:rtl w:val="0"/>
              </w:rPr>
              <w:t>r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d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 i prace historyczno-krytyczne. Ponadto om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wione zostana</w:t>
            </w:r>
            <w:r>
              <w:rPr>
                <w:rFonts w:ascii="Times New Roman" w:hAnsi="Times New Roman" w:hint="default"/>
                <w:rtl w:val="0"/>
              </w:rPr>
              <w:t> </w:t>
            </w:r>
            <w:r>
              <w:rPr>
                <w:rFonts w:ascii="Times New Roman" w:hAnsi="Times New Roman"/>
                <w:rtl w:val="0"/>
              </w:rPr>
              <w:t>pitagorejskie aspekty filozofii plato</w:t>
            </w:r>
            <w:r>
              <w:rPr>
                <w:rFonts w:ascii="Times New Roman" w:hAnsi="Times New Roman" w:hint="default"/>
                <w:rtl w:val="0"/>
              </w:rPr>
              <w:t>ń</w:t>
            </w:r>
            <w:r>
              <w:rPr>
                <w:rFonts w:ascii="Times New Roman" w:hAnsi="Times New Roman"/>
                <w:rtl w:val="0"/>
              </w:rPr>
              <w:t>skiej takie jak teoria liczb i teoria zasad.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Warunki wst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Wiedza og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lna nabyta w toku kszta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cenia w szkole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redniej.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Kursy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 xml:space="preserve">Efekty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5296"/>
        <w:gridCol w:w="2465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979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Efekt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uczenia si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dla kursu</w:t>
            </w:r>
          </w:p>
        </w:tc>
        <w:tc>
          <w:tcPr>
            <w:tcW w:type="dxa" w:w="24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2183" w:hRule="atLeast"/>
        </w:trPr>
        <w:tc>
          <w:tcPr>
            <w:tcW w:type="dxa" w:w="1979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9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Zna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mi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dzy kszta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towaniem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idei filozoficznych a zmianami w kulturze i nauce zw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aszcza psychologi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 socjologi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wiedz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dotycz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niejszych problem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filozoficznych ze szczeg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lnym uwzgl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dnieniem ontologii, teorii poznania, filozofii 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K_W04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K_W05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K_W09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K_W10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510"/>
      </w:tblGrid>
      <w:tr>
        <w:tblPrEx>
          <w:shd w:val="clear" w:color="auto" w:fill="ced7e7"/>
        </w:tblPrEx>
        <w:trPr>
          <w:trHeight w:val="789" w:hRule="atLeast"/>
        </w:trPr>
        <w:tc>
          <w:tcPr>
            <w:tcW w:type="dxa" w:w="1985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1985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artyku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owania i uzasadniania 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asnych pogl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w mowie jaki w w pi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mie. Samodzielnie my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 i krytycznie ustosunkowuje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zastanej rzeczywisto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wybran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terminologi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filozoficzn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, zw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aszcza z zakresu ontologii, epistemologii i filozofii 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owieka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U03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analizowania problem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filozoficznych oraz dostrzega ich wzajemne zwi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zki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K_U02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K_U03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K_U04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K_U06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K_U08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510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985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834" w:hRule="atLeast"/>
        </w:trPr>
        <w:tc>
          <w:tcPr>
            <w:tcW w:type="dxa" w:w="1985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Kszta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tuje osobist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my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leniu i 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dach, jest krytyczny, a zarazem otwarty w swoich 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dach, jest otwarty i tolerancyjny wobec cudzych pogl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Dba o precyzyjne formu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owanie swojego stanowiska, jest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wiadomy potrzeby ci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ego rozwoju intelektualnego i moralnego.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K_K01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4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5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5"/>
        <w:gridCol w:w="1221"/>
        <w:gridCol w:w="848"/>
        <w:gridCol w:w="271"/>
        <w:gridCol w:w="859"/>
        <w:gridCol w:w="314"/>
        <w:gridCol w:w="816"/>
        <w:gridCol w:w="283"/>
        <w:gridCol w:w="848"/>
        <w:gridCol w:w="283"/>
        <w:gridCol w:w="847"/>
        <w:gridCol w:w="283"/>
        <w:gridCol w:w="847"/>
        <w:gridCol w:w="307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632"/>
            <w:gridSpan w:val="1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Zawartość tabeli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1605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1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(W)</w:t>
            </w:r>
          </w:p>
        </w:tc>
        <w:tc>
          <w:tcPr>
            <w:tcW w:type="dxa" w:w="6805"/>
            <w:gridSpan w:val="1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605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</w:tcPr>
          <w:p/>
        </w:tc>
        <w:tc>
          <w:tcPr>
            <w:tcW w:type="dxa" w:w="1221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9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30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metod prowadzenia zaj</w:t>
      </w:r>
      <w:r>
        <w:rPr>
          <w:rFonts w:ascii="Arial" w:hAnsi="Arial" w:hint="default"/>
          <w:sz w:val="22"/>
          <w:szCs w:val="22"/>
          <w:rtl w:val="0"/>
        </w:rPr>
        <w:t>ęć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 tre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ci merytorycznych oparty na tekstach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owych, dyskusja.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Zawartość tabeli"/>
      </w:pPr>
      <w:r>
        <w:rPr>
          <w:rFonts w:ascii="Arial" w:hAnsi="Arial"/>
          <w:sz w:val="22"/>
          <w:szCs w:val="22"/>
          <w:rtl w:val="0"/>
        </w:rPr>
        <w:t>Formy sprawdzania efekt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lloon Text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U03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0"/>
              <w:spacing w:before="57" w:after="57"/>
              <w:jc w:val="center"/>
            </w:pPr>
            <w:r>
              <w:rPr>
                <w:rFonts w:ascii="Arial" w:hAnsi="Arial"/>
                <w:kern w:val="0"/>
                <w:sz w:val="20"/>
                <w:szCs w:val="20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spacing w:before="57" w:after="57"/>
              <w:rPr>
                <w:rFonts w:ascii="Arial" w:cs="Arial" w:hAnsi="Arial" w:eastAsia="Arial"/>
                <w:kern w:val="0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Aktywno</w:t>
            </w:r>
            <w:r>
              <w:rPr>
                <w:rFonts w:ascii="Arial" w:hAnsi="Arial" w:hint="default"/>
                <w:kern w:val="0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podczas zaj</w:t>
            </w:r>
            <w:r>
              <w:rPr>
                <w:rFonts w:ascii="Arial" w:hAnsi="Arial" w:hint="default"/>
                <w:kern w:val="0"/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, praca zaliczeniowa</w:t>
            </w:r>
          </w:p>
        </w:tc>
      </w:tr>
    </w:tbl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2314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Uwagi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Kryteria oceny pracy pisemnej.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eseju wp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: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Poprawne pod wzgl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dem merytorycznym zreferowanie stanowiska (30%)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Poprawne i konsekwentne pos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ugiwanie si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terminologi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(15%)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Struktura i sp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logiczna (15%)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Racjonalno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argumentacji i perswazja (20%)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Stosowanie zasad metodyki pracy naukowej (10%)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Styl i poprawno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zykowa (10%)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Tre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merytoryczne (wykaz temat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Posta</w:t>
            </w:r>
            <w:r>
              <w:rPr>
                <w:sz w:val="20"/>
                <w:szCs w:val="20"/>
                <w:rtl w:val="0"/>
              </w:rPr>
              <w:t xml:space="preserve">ć </w:t>
            </w:r>
            <w:r>
              <w:rPr>
                <w:sz w:val="20"/>
                <w:szCs w:val="20"/>
                <w:rtl w:val="0"/>
              </w:rPr>
              <w:t>Pitagorasa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Pitagoreizm, szko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pitagorejska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Zachowane teksty pitagorejskie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Pitagoreizm a platonizm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Pitagoreizm w Testimonia Platonica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Teoria liczb i zasad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podstawowej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Jamblich - O 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̇</w:t>
            </w:r>
            <w:r>
              <w:rPr>
                <w:rFonts w:ascii="Arial" w:hAnsi="Arial"/>
                <w:sz w:val="22"/>
                <w:szCs w:val="22"/>
                <w:rtl w:val="0"/>
              </w:rPr>
              <w:t>yciu pitagorejskim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Porfiriusz - 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̇</w:t>
            </w:r>
            <w:r>
              <w:rPr>
                <w:rFonts w:ascii="Arial" w:hAnsi="Arial"/>
                <w:sz w:val="22"/>
                <w:szCs w:val="22"/>
                <w:rtl w:val="0"/>
              </w:rPr>
              <w:t>ywot Pitagorasa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Ps.-Archytas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- O zasadach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Timajos Lokryjczyk - O naturze i duszy 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>wiata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Pitagoras - 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ote wersety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Symbole pitagorejskie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Gaiser, Testimonia Platonica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Burkert - Platonic and Pythagorean Number Theory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uzupe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The Pythagorean Texts of the Hellenistic Period (ed. H. Thesleff)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The Pythagorean Sourcebook (ed. K. S. Guthrie)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The Golden Chain An Anthology of Pythagorean and Platonic Philosophy (ed. A. Uzdavinys)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</w:pPr>
      <w:r>
        <w:rPr>
          <w:rFonts w:ascii="Arial" w:hAnsi="Arial"/>
          <w:sz w:val="22"/>
          <w:szCs w:val="22"/>
          <w:rtl w:val="0"/>
        </w:rPr>
        <w:t>Bilans godzinowy zgodny z CNPS (Ca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kowity Nak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 Pracy Studenta)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16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w kontakcie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pracy studenta bez kontaktu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do egzaminu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</w:tr>
    </w:tbl>
    <w:p>
      <w:pPr>
        <w:pStyle w:val="Normal.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alloon Text">
    <w:name w:val="Balloon Text"/>
    <w:next w:val="Balloo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dymka1">
    <w:name w:val="Tekst dymka1"/>
    <w:next w:val="Tekst dymka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