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DB6" w14:textId="77777777" w:rsidR="00BF045D" w:rsidRDefault="00BF045D" w:rsidP="00BF045D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0982565" w14:textId="77777777" w:rsidR="00BF045D" w:rsidRDefault="00BF045D" w:rsidP="00BF045D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2D7D71B" w14:textId="77777777" w:rsidR="00837479" w:rsidRPr="00FB3601" w:rsidRDefault="00837479" w:rsidP="0083747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B3601">
        <w:rPr>
          <w:rFonts w:ascii="Arial" w:hAnsi="Arial" w:cs="Arial"/>
          <w:b/>
          <w:bCs/>
          <w:sz w:val="32"/>
          <w:szCs w:val="32"/>
        </w:rPr>
        <w:t>Kryminologia i dezorganizacja społeczna</w:t>
      </w:r>
    </w:p>
    <w:p w14:paraId="47DF6B48" w14:textId="77777777" w:rsidR="00BF045D" w:rsidRDefault="00BF045D" w:rsidP="00BF045D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1238FF5" w14:textId="77777777" w:rsidR="00BF045D" w:rsidRPr="000053D6" w:rsidRDefault="00BF045D" w:rsidP="00BF045D">
      <w:pPr>
        <w:autoSpaceDE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F045D" w14:paraId="20F535A9" w14:textId="77777777" w:rsidTr="00F72A8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C568BF0" w14:textId="77777777" w:rsidR="00BF045D" w:rsidRDefault="00BF045D" w:rsidP="00F72A8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F43392D" w14:textId="77777777" w:rsidR="00BF045D" w:rsidRPr="004166C9" w:rsidRDefault="00BF045D" w:rsidP="00BF13DB">
            <w:pPr>
              <w:pStyle w:val="Zawartotabeli"/>
              <w:spacing w:before="60" w:after="60"/>
              <w:jc w:val="center"/>
            </w:pPr>
            <w:r w:rsidRPr="004166C9">
              <w:t xml:space="preserve">Socjologia </w:t>
            </w:r>
            <w:r w:rsidR="00BF13DB">
              <w:t>prawa</w:t>
            </w:r>
          </w:p>
        </w:tc>
      </w:tr>
      <w:tr w:rsidR="00BF045D" w:rsidRPr="00BF13DB" w14:paraId="723ADDF1" w14:textId="77777777" w:rsidTr="00F72A8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A1864B7" w14:textId="77777777" w:rsidR="00BF045D" w:rsidRDefault="00BF045D" w:rsidP="00F72A8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4DCB5E5" w14:textId="77777777" w:rsidR="00BF045D" w:rsidRPr="004166C9" w:rsidRDefault="00BF045D" w:rsidP="0032407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Sociology of law</w:t>
            </w:r>
          </w:p>
        </w:tc>
      </w:tr>
    </w:tbl>
    <w:p w14:paraId="1E7FC8BE" w14:textId="77777777" w:rsidR="00837479" w:rsidRPr="004166C9" w:rsidRDefault="00837479" w:rsidP="0083747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F045D" w14:paraId="342DD668" w14:textId="77777777" w:rsidTr="00F72A8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C9C03DC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84CF161" w14:textId="5F9E5419" w:rsidR="00BF045D" w:rsidRDefault="00683258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Hanna Dębska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AD4E3A3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BF045D" w14:paraId="2415850E" w14:textId="77777777" w:rsidTr="002D49A7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D8726BA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4E58A55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4F8B3C7" w14:textId="4FEECB81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5D" w14:paraId="09F8D787" w14:textId="77777777" w:rsidTr="002D49A7">
        <w:trPr>
          <w:cantSplit/>
          <w:trHeight w:val="183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E208F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553E9D0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F3D9E90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5D" w14:paraId="4C7B0F24" w14:textId="77777777" w:rsidTr="00F72A8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A710806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D4D8793" w14:textId="77777777" w:rsidR="00BF045D" w:rsidRDefault="00BF13DB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256F17D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5051E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p w14:paraId="6141F91B" w14:textId="77777777" w:rsidR="00BF045D" w:rsidRPr="008336E4" w:rsidRDefault="00BF045D" w:rsidP="00BF045D">
      <w:pPr>
        <w:rPr>
          <w:rFonts w:ascii="Arial" w:hAnsi="Arial" w:cs="Arial"/>
          <w:sz w:val="22"/>
          <w:szCs w:val="22"/>
        </w:rPr>
      </w:pPr>
      <w:r w:rsidRPr="008336E4">
        <w:rPr>
          <w:rFonts w:ascii="Arial" w:hAnsi="Arial" w:cs="Arial"/>
          <w:sz w:val="22"/>
          <w:szCs w:val="22"/>
        </w:rPr>
        <w:t>Opis kursu (cele kształcenia)</w:t>
      </w:r>
    </w:p>
    <w:p w14:paraId="3AFE7D44" w14:textId="77777777" w:rsidR="00BF045D" w:rsidRPr="00837479" w:rsidRDefault="00BF045D" w:rsidP="00BF045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F045D" w:rsidRPr="008336E4" w14:paraId="42FDF4F2" w14:textId="77777777" w:rsidTr="00F72A8B">
        <w:trPr>
          <w:trHeight w:val="1365"/>
        </w:trPr>
        <w:tc>
          <w:tcPr>
            <w:tcW w:w="9640" w:type="dxa"/>
          </w:tcPr>
          <w:p w14:paraId="56D5D8FE" w14:textId="0C59FDBE" w:rsidR="00BF045D" w:rsidRPr="008336E4" w:rsidRDefault="00683258" w:rsidP="002D49A7">
            <w:pPr>
              <w:pStyle w:val="Akapitzlist"/>
              <w:widowControl w:val="0"/>
              <w:suppressAutoHyphens/>
              <w:autoSpaceDE w:val="0"/>
              <w:spacing w:before="60" w:line="276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507">
              <w:rPr>
                <w:rFonts w:ascii="Calibri" w:hAnsi="Calibri" w:cs="Calibri"/>
                <w:sz w:val="22"/>
                <w:szCs w:val="22"/>
              </w:rPr>
              <w:t>Celem kursu jest prezentacja możliwie szerokiego zakresu relacji pomiędzy prawem a ży</w:t>
            </w:r>
            <w:r>
              <w:rPr>
                <w:rFonts w:ascii="Calibri" w:hAnsi="Calibri" w:cs="Calibri"/>
                <w:sz w:val="22"/>
                <w:szCs w:val="22"/>
              </w:rPr>
              <w:t>ciem społecznym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, co spowoduje uzyskanie przez Studentów zaawansowanej wiedzy w zakresie rozumienia zjawisk </w:t>
            </w:r>
            <w:r>
              <w:rPr>
                <w:rFonts w:ascii="Calibri" w:hAnsi="Calibri" w:cs="Calibri"/>
                <w:sz w:val="22"/>
                <w:szCs w:val="22"/>
              </w:rPr>
              <w:t>i procesów prawnych, z znacznie poszerzonej perspektywy niż ściśle prawnicza</w:t>
            </w:r>
            <w:r w:rsidRPr="00116507">
              <w:rPr>
                <w:rFonts w:ascii="Calibri" w:hAnsi="Calibri" w:cs="Calibri"/>
                <w:sz w:val="22"/>
                <w:szCs w:val="22"/>
              </w:rPr>
              <w:t>. Punktem wyjścia jest próba usytuowania socjologii prawa w kontekście innych nauk prawnych i socjologicznych (w szczególności relacja do teorii i filozofii prawa, jak i związki z kryminologią czy socjologią dewiacji). Następnie zaś zapoznanie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Słuchaczy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 z głównymi osiągnięciami rozwoju socjol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ogii prawa na 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świecie, a także z dorobkiem prekursorów tej subdyscypliny naukowej (m.in. Max Weber, </w:t>
            </w:r>
            <w:proofErr w:type="spellStart"/>
            <w:r w:rsidRPr="00116507">
              <w:rPr>
                <w:rFonts w:ascii="Calibri" w:hAnsi="Calibri" w:cs="Calibri"/>
                <w:sz w:val="22"/>
                <w:szCs w:val="22"/>
              </w:rPr>
              <w:t>Emile</w:t>
            </w:r>
            <w:proofErr w:type="spellEnd"/>
            <w:r w:rsidRPr="00116507">
              <w:rPr>
                <w:rFonts w:ascii="Calibri" w:hAnsi="Calibri" w:cs="Calibri"/>
                <w:sz w:val="22"/>
                <w:szCs w:val="22"/>
              </w:rPr>
              <w:t xml:space="preserve"> Durkheim, Leon </w:t>
            </w:r>
            <w:proofErr w:type="spellStart"/>
            <w:r w:rsidRPr="00116507">
              <w:rPr>
                <w:rFonts w:ascii="Calibri" w:hAnsi="Calibri" w:cs="Calibri"/>
                <w:sz w:val="22"/>
                <w:szCs w:val="22"/>
              </w:rPr>
              <w:t>Petrażycki</w:t>
            </w:r>
            <w:proofErr w:type="spellEnd"/>
            <w:r w:rsidRPr="00116507">
              <w:rPr>
                <w:rFonts w:ascii="Calibri" w:hAnsi="Calibri" w:cs="Calibri"/>
                <w:sz w:val="22"/>
                <w:szCs w:val="22"/>
              </w:rPr>
              <w:t xml:space="preserve">) i współczesnych badaczy (m.in. Pierre </w:t>
            </w:r>
            <w:proofErr w:type="spellStart"/>
            <w:r w:rsidRPr="00116507">
              <w:rPr>
                <w:rFonts w:ascii="Calibri" w:hAnsi="Calibri" w:cs="Calibri"/>
                <w:sz w:val="22"/>
                <w:szCs w:val="22"/>
              </w:rPr>
              <w:t>Bourdieu</w:t>
            </w:r>
            <w:proofErr w:type="spellEnd"/>
            <w:r w:rsidRPr="00116507">
              <w:rPr>
                <w:rFonts w:ascii="Calibri" w:hAnsi="Calibri" w:cs="Calibri"/>
                <w:sz w:val="22"/>
                <w:szCs w:val="22"/>
              </w:rPr>
              <w:t>). Tym samym, Studenci będą mieli możliwość zapoznania się z klasycznymi paradygmatami naukowymi dotyczącymi relacji pomiędzy prawem a społeczeństwem (psychologiczna szkoła prawa, socjologiczna szkoła prawa, nurty realistyczne, inżynieria społeczna poprzez prawo itp.) i współczesnymi – refleksyjna, krytyczna socjologia prawa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(dot. </w:t>
            </w:r>
            <w:r w:rsidRPr="00116507">
              <w:rPr>
                <w:rFonts w:ascii="Calibri" w:hAnsi="Calibri" w:cs="Calibri"/>
                <w:sz w:val="22"/>
                <w:szCs w:val="22"/>
              </w:rPr>
              <w:t>nierówności, dominacji, legitymizacji władzy i prawa). Ponadto przedmiotem rozważań będą istniejące kultury prawne (w tym współcześnie kontrowersyjna relacja przenikania się różnych norm społecznych np. religijnych i moralnych i ich wpływ na praktyki tworzenia i stosowania prawa). Uzupełnieniem tej problematyki będzie zapoznanie studentów z wynikami badań socjologicznych dotyczących instytucji prawnych (przede wszystkim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sądownictwa konstytucyjnego jako fundującego porządek prawny demokratycznego państwa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) a także zaprezentowanie sposobu ich interpretacji przy użyciu zaawansowanych metod statystycznych (geometryczna analiza danych). Dzięki temu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Studenci </w:t>
            </w:r>
            <w:r w:rsidRPr="00116507">
              <w:rPr>
                <w:rFonts w:ascii="Calibri" w:hAnsi="Calibri" w:cs="Calibri"/>
                <w:sz w:val="22"/>
                <w:szCs w:val="22"/>
              </w:rPr>
              <w:t>wykształcają umiejętność praktycznej aplikacji ujęć teoretycznych socjologii prawa, posługiwania się nimi jako realnymi narzędziami interpretacji rzeczywistości, jak również zrozumienia złożoności społecznych podstaw i funkcji prawa</w:t>
            </w:r>
          </w:p>
          <w:p w14:paraId="64F26AF4" w14:textId="77777777" w:rsidR="00BF045D" w:rsidRPr="008336E4" w:rsidRDefault="00BF045D" w:rsidP="002D49A7">
            <w:pPr>
              <w:spacing w:before="60" w:line="276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36E4">
              <w:rPr>
                <w:rFonts w:ascii="Arial" w:hAnsi="Arial" w:cs="Arial"/>
                <w:sz w:val="22"/>
                <w:szCs w:val="22"/>
              </w:rPr>
              <w:t>Kurs prowadzony jest w języku polskim.</w:t>
            </w:r>
          </w:p>
        </w:tc>
      </w:tr>
    </w:tbl>
    <w:p w14:paraId="6AA3C617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p w14:paraId="27F358EB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3DA6ECD0" w14:textId="77777777" w:rsidR="00BF045D" w:rsidRPr="00837479" w:rsidRDefault="00BF045D" w:rsidP="00BF045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045D" w14:paraId="65121674" w14:textId="77777777" w:rsidTr="00837479">
        <w:trPr>
          <w:trHeight w:val="247"/>
        </w:trPr>
        <w:tc>
          <w:tcPr>
            <w:tcW w:w="1941" w:type="dxa"/>
            <w:shd w:val="clear" w:color="auto" w:fill="DBE5F1"/>
            <w:vAlign w:val="center"/>
          </w:tcPr>
          <w:p w14:paraId="47D7BF4E" w14:textId="77777777" w:rsidR="00BF045D" w:rsidRDefault="00BF045D" w:rsidP="00F72A8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C08B4F0" w14:textId="6E03C75B" w:rsidR="00BF045D" w:rsidRPr="00837479" w:rsidRDefault="00BF045D" w:rsidP="0083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045D" w14:paraId="339042DE" w14:textId="77777777" w:rsidTr="00837479">
        <w:trPr>
          <w:trHeight w:val="324"/>
        </w:trPr>
        <w:tc>
          <w:tcPr>
            <w:tcW w:w="1941" w:type="dxa"/>
            <w:shd w:val="clear" w:color="auto" w:fill="DBE5F1"/>
            <w:vAlign w:val="center"/>
          </w:tcPr>
          <w:p w14:paraId="01F453FC" w14:textId="77777777" w:rsidR="00BF045D" w:rsidRDefault="00BF045D" w:rsidP="00F72A8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01AEA03" w14:textId="4E5464E6" w:rsidR="00BF045D" w:rsidRPr="00837479" w:rsidRDefault="00BF045D" w:rsidP="00837479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5D" w14:paraId="427F0E98" w14:textId="77777777" w:rsidTr="00837479">
        <w:trPr>
          <w:trHeight w:val="315"/>
        </w:trPr>
        <w:tc>
          <w:tcPr>
            <w:tcW w:w="1941" w:type="dxa"/>
            <w:shd w:val="clear" w:color="auto" w:fill="DBE5F1"/>
            <w:vAlign w:val="center"/>
          </w:tcPr>
          <w:p w14:paraId="406206F4" w14:textId="77777777" w:rsidR="00BF045D" w:rsidRDefault="00BF045D" w:rsidP="00F72A8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8D4459B" w14:textId="77777777" w:rsidR="00BF045D" w:rsidRPr="00837479" w:rsidRDefault="00BF045D" w:rsidP="00837479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FBB68" w14:textId="77777777" w:rsidR="00BF045D" w:rsidRDefault="00BF045D" w:rsidP="00BF045D">
      <w:pPr>
        <w:rPr>
          <w:rFonts w:ascii="Arial" w:hAnsi="Arial" w:cs="Arial"/>
          <w:sz w:val="22"/>
          <w:szCs w:val="14"/>
        </w:rPr>
      </w:pPr>
    </w:p>
    <w:p w14:paraId="506D8B01" w14:textId="77777777" w:rsidR="00ED54FF" w:rsidRDefault="00ED54FF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3C03E9EE" w14:textId="5165FB7B" w:rsidR="00BF045D" w:rsidRDefault="00BF045D" w:rsidP="00BF045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 uczenia się</w:t>
      </w:r>
    </w:p>
    <w:p w14:paraId="7D3219DC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tbl>
      <w:tblPr>
        <w:tblW w:w="9923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2977"/>
      </w:tblGrid>
      <w:tr w:rsidR="00BF045D" w14:paraId="3798B38D" w14:textId="77777777" w:rsidTr="00C57694">
        <w:trPr>
          <w:cantSplit/>
          <w:trHeight w:val="930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14:paraId="06171B4A" w14:textId="77777777" w:rsidR="00BF045D" w:rsidRDefault="00BF045D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3F7E9DDB" w14:textId="77777777" w:rsidR="00BF045D" w:rsidRDefault="00BF045D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025E6006" w14:textId="77777777" w:rsidR="00C57694" w:rsidRDefault="00C57694" w:rsidP="00C5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777AA855" w14:textId="79968770" w:rsidR="00BF045D" w:rsidRDefault="00C57694" w:rsidP="00C5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BF045D" w14:paraId="6A4210AD" w14:textId="77777777" w:rsidTr="00C57694">
        <w:trPr>
          <w:cantSplit/>
          <w:trHeight w:val="1838"/>
        </w:trPr>
        <w:tc>
          <w:tcPr>
            <w:tcW w:w="1418" w:type="dxa"/>
            <w:vMerge/>
          </w:tcPr>
          <w:p w14:paraId="782CE6A3" w14:textId="77777777" w:rsidR="00BF045D" w:rsidRDefault="00BF045D" w:rsidP="00F72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3E5B3E5" w14:textId="77777777" w:rsidR="000053D6" w:rsidRDefault="000053D6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EC3A82" w14:textId="4CAABDBB" w:rsidR="00683258" w:rsidRPr="00116507" w:rsidRDefault="00683258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6507">
              <w:rPr>
                <w:rFonts w:ascii="Calibri" w:hAnsi="Calibri" w:cs="Calibri"/>
                <w:sz w:val="22"/>
                <w:szCs w:val="22"/>
              </w:rPr>
              <w:t>Zna terminologię z zakresu socjologii prawa i potrafi ją zastosować do opisu zjawisk prawn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ych </w:t>
            </w:r>
            <w:r w:rsidRPr="00116507">
              <w:rPr>
                <w:rFonts w:ascii="Calibri" w:hAnsi="Calibri" w:cs="Calibri"/>
                <w:sz w:val="22"/>
                <w:szCs w:val="22"/>
              </w:rPr>
              <w:t>Ma zaawansowaną wiedzę o społecznym funkcjonowaniu instytucji prawnych</w:t>
            </w:r>
          </w:p>
          <w:p w14:paraId="3D68E8EB" w14:textId="77777777" w:rsidR="000053D6" w:rsidRDefault="000053D6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D152D4" w14:textId="77777777" w:rsidR="000053D6" w:rsidRDefault="000053D6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A2FBB6" w14:textId="6A657676" w:rsidR="00683258" w:rsidRPr="00116507" w:rsidRDefault="00683258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 zaawansowaną wiedzę na temat prawniczych, socjologicznych i ps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ychologicznych koncepcji prawa; 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jak </w:t>
            </w:r>
            <w:r w:rsidRPr="00116507">
              <w:rPr>
                <w:rFonts w:ascii="Calibri" w:hAnsi="Calibri" w:cs="Calibri"/>
                <w:sz w:val="22"/>
                <w:szCs w:val="22"/>
              </w:rPr>
              <w:t>o związkach prawa z innymi normami społecznymi  i występujących między nimi zależnościami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wraz ze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 znaj</w:t>
            </w:r>
            <w:r>
              <w:rPr>
                <w:rFonts w:ascii="Calibri" w:hAnsi="Calibri" w:cs="Calibri"/>
                <w:sz w:val="22"/>
                <w:szCs w:val="22"/>
              </w:rPr>
              <w:t>omości a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 różnych kultur prawnych </w:t>
            </w:r>
          </w:p>
          <w:p w14:paraId="429F6210" w14:textId="77777777" w:rsidR="00683258" w:rsidRDefault="00683258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6344E4" w14:textId="77777777" w:rsidR="000053D6" w:rsidRPr="00116507" w:rsidRDefault="000053D6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81DDD8" w14:textId="7C32C50D" w:rsidR="00683258" w:rsidRPr="00116507" w:rsidRDefault="00683258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6507">
              <w:rPr>
                <w:rFonts w:ascii="Calibri" w:hAnsi="Calibri" w:cs="Calibri"/>
                <w:sz w:val="22"/>
                <w:szCs w:val="22"/>
              </w:rPr>
              <w:t xml:space="preserve">Posiada rozszerzoną wiedzę o metodologii nauk społecznych, do których należy socjologia prawa </w:t>
            </w:r>
          </w:p>
          <w:p w14:paraId="47AF08A3" w14:textId="2203F0D0" w:rsidR="00BF045D" w:rsidRPr="00C57694" w:rsidRDefault="00BF045D" w:rsidP="00C5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330DC3" w14:textId="77777777" w:rsidR="000053D6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FCF71B" w14:textId="77777777" w:rsidR="00BF045D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W01,</w:t>
            </w:r>
          </w:p>
          <w:p w14:paraId="39A09C91" w14:textId="77777777" w:rsidR="000053D6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A32906" w14:textId="77777777" w:rsidR="000053D6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69B221" w14:textId="77777777" w:rsidR="000053D6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E38BDC" w14:textId="77777777" w:rsidR="000053D6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0090C4" w14:textId="6CAD90F6" w:rsidR="000053D6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W04,</w:t>
            </w:r>
          </w:p>
          <w:p w14:paraId="599F1298" w14:textId="77777777" w:rsidR="000053D6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W05</w:t>
            </w:r>
          </w:p>
          <w:p w14:paraId="46993A58" w14:textId="77777777" w:rsidR="000053D6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6BDA31" w14:textId="77777777" w:rsidR="000053D6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56A94F" w14:textId="77777777" w:rsidR="000053D6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2ED059" w14:textId="77777777" w:rsidR="000053D6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01E885" w14:textId="6E64DC7F" w:rsidR="000053D6" w:rsidRDefault="000053D6" w:rsidP="0068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W06</w:t>
            </w:r>
          </w:p>
        </w:tc>
      </w:tr>
    </w:tbl>
    <w:p w14:paraId="0386BF4D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p w14:paraId="6365A983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p w14:paraId="386F4EE8" w14:textId="77777777" w:rsidR="009B5F75" w:rsidRDefault="009B5F75" w:rsidP="00BF045D">
      <w:pPr>
        <w:rPr>
          <w:rFonts w:ascii="Arial" w:hAnsi="Arial" w:cs="Arial"/>
          <w:sz w:val="22"/>
          <w:szCs w:val="16"/>
        </w:rPr>
      </w:pPr>
    </w:p>
    <w:tbl>
      <w:tblPr>
        <w:tblW w:w="9923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28"/>
        <w:gridCol w:w="2977"/>
      </w:tblGrid>
      <w:tr w:rsidR="00BF045D" w14:paraId="5BC05D4E" w14:textId="77777777" w:rsidTr="00C57694">
        <w:trPr>
          <w:cantSplit/>
          <w:trHeight w:val="939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14:paraId="4E24FDCD" w14:textId="77777777" w:rsidR="00BF045D" w:rsidRDefault="00BF045D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7C297AEF" w14:textId="77777777" w:rsidR="00BF045D" w:rsidRDefault="00BF045D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1C613C10" w14:textId="77777777" w:rsidR="00C57694" w:rsidRDefault="00C57694" w:rsidP="00C5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5E5E1E61" w14:textId="5949E18A" w:rsidR="00BF045D" w:rsidRDefault="00C57694" w:rsidP="00C5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BF045D" w14:paraId="40A0E06E" w14:textId="77777777" w:rsidTr="00C57694">
        <w:trPr>
          <w:cantSplit/>
          <w:trHeight w:val="2116"/>
        </w:trPr>
        <w:tc>
          <w:tcPr>
            <w:tcW w:w="1418" w:type="dxa"/>
            <w:vMerge/>
          </w:tcPr>
          <w:p w14:paraId="7DC87304" w14:textId="77777777" w:rsidR="00BF045D" w:rsidRDefault="00BF045D" w:rsidP="00F72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E66CCCA" w14:textId="77777777" w:rsidR="000053D6" w:rsidRDefault="000053D6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E7B0F0" w14:textId="3A21D14A" w:rsidR="00683258" w:rsidRPr="00116507" w:rsidRDefault="00683258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6507">
              <w:rPr>
                <w:rFonts w:ascii="Calibri" w:hAnsi="Calibri" w:cs="Calibri"/>
                <w:sz w:val="22"/>
                <w:szCs w:val="22"/>
              </w:rPr>
              <w:t xml:space="preserve">Prawidłowo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stosuje aparat pojęciowy socjologii prawa dzięki któremu  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wyjaśnia i właściwie interpretuje zjawiska społeczne mające wpływ na obowiązujące rozwiązania prawne  </w:t>
            </w:r>
          </w:p>
          <w:p w14:paraId="487BEA9D" w14:textId="77777777" w:rsidR="00683258" w:rsidRDefault="00683258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AA044F" w14:textId="77777777" w:rsidR="000053D6" w:rsidRPr="00116507" w:rsidRDefault="000053D6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E45396" w14:textId="39A04619" w:rsidR="00683258" w:rsidRPr="00116507" w:rsidRDefault="00683258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6507">
              <w:rPr>
                <w:rFonts w:ascii="Calibri" w:hAnsi="Calibri" w:cs="Calibri"/>
                <w:sz w:val="22"/>
                <w:szCs w:val="22"/>
              </w:rPr>
              <w:t>Umie wskazać obszary relacji po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między </w:t>
            </w:r>
            <w:r w:rsidRPr="000053D6">
              <w:rPr>
                <w:rFonts w:ascii="Calibri" w:hAnsi="Calibri" w:cs="Calibri"/>
                <w:sz w:val="22"/>
                <w:szCs w:val="22"/>
              </w:rPr>
              <w:t>społeczeństwem i prawem.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Postrzega, analizuje i interpretuje, także w aspekcie teoretycznym, z zastosowaniem określonej </w:t>
            </w:r>
            <w:r w:rsidRPr="000053D6">
              <w:rPr>
                <w:rFonts w:ascii="Calibri" w:hAnsi="Calibri" w:cs="Calibri"/>
                <w:sz w:val="22"/>
                <w:szCs w:val="22"/>
              </w:rPr>
              <w:t>metody badawczej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  z zakresu socjologii prawa -  zjawiska prawne </w:t>
            </w:r>
          </w:p>
          <w:p w14:paraId="5667976E" w14:textId="77777777" w:rsidR="00683258" w:rsidRDefault="00683258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73FE8D" w14:textId="77777777" w:rsidR="000053D6" w:rsidRPr="00116507" w:rsidRDefault="000053D6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292D0D" w14:textId="75BB26ED" w:rsidR="00683258" w:rsidRPr="00116507" w:rsidRDefault="00683258" w:rsidP="000053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6507">
              <w:rPr>
                <w:rFonts w:ascii="Calibri" w:hAnsi="Calibri" w:cs="Calibri"/>
                <w:sz w:val="22"/>
                <w:szCs w:val="22"/>
              </w:rPr>
              <w:t>Wykazuje zdolność do uważnej obserwacji rzeczywistości w zakresie złożoności problemów z jakimi prawo konfrontuje się we współczesnym świecie  Umiejętnie ocenia zjawiska  i procesy społeczne w kontekście ich związków z prawem</w:t>
            </w:r>
          </w:p>
          <w:p w14:paraId="38ACE819" w14:textId="76074BB1" w:rsidR="00BF045D" w:rsidRPr="00C57694" w:rsidRDefault="00BF045D" w:rsidP="00683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8CB311C" w14:textId="77777777" w:rsidR="000053D6" w:rsidRDefault="000053D6" w:rsidP="006832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0CDF6" w14:textId="37A3ED2C" w:rsidR="00683258" w:rsidRPr="005907AF" w:rsidRDefault="000053D6" w:rsidP="00683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U01</w:t>
            </w:r>
          </w:p>
          <w:p w14:paraId="74BFE06D" w14:textId="7DC844AF" w:rsidR="00BF045D" w:rsidRDefault="00BF045D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7BCD6" w14:textId="77777777" w:rsidR="000053D6" w:rsidRDefault="000053D6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44A63" w14:textId="77777777" w:rsidR="000053D6" w:rsidRDefault="000053D6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26A07E" w14:textId="77777777" w:rsidR="000053D6" w:rsidRDefault="000053D6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7C43B" w14:textId="77777777" w:rsidR="000053D6" w:rsidRDefault="000053D6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60100F" w14:textId="77777777" w:rsidR="000053D6" w:rsidRPr="005907AF" w:rsidRDefault="000053D6" w:rsidP="00F72A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94867" w14:textId="77777777" w:rsidR="00BF045D" w:rsidRDefault="000053D6" w:rsidP="00F72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  <w:p w14:paraId="4BFB621F" w14:textId="77777777" w:rsidR="00773748" w:rsidRDefault="00773748" w:rsidP="00F72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01CC7" w14:textId="77777777" w:rsidR="00773748" w:rsidRDefault="00773748" w:rsidP="00F72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CA5C7" w14:textId="77777777" w:rsidR="00773748" w:rsidRDefault="00773748" w:rsidP="00F72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0B8EF" w14:textId="77777777" w:rsidR="00773748" w:rsidRDefault="00773748" w:rsidP="00F72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3630C" w14:textId="77777777" w:rsidR="00773748" w:rsidRDefault="00773748" w:rsidP="00F72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B7C01" w14:textId="77777777" w:rsidR="00773748" w:rsidRDefault="00773748" w:rsidP="00F72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1187E" w14:textId="77777777" w:rsidR="00773748" w:rsidRDefault="00773748" w:rsidP="00F72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5636E" w14:textId="77777777" w:rsidR="00773748" w:rsidRDefault="00773748" w:rsidP="00F72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1A984" w14:textId="03643BA5" w:rsidR="00773748" w:rsidRDefault="00773748" w:rsidP="00F72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</w:tr>
    </w:tbl>
    <w:p w14:paraId="76CEADA2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p w14:paraId="71E806E0" w14:textId="2747668A" w:rsidR="00C57694" w:rsidRDefault="00C57694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7935779F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tbl>
      <w:tblPr>
        <w:tblW w:w="9923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812"/>
        <w:gridCol w:w="2693"/>
      </w:tblGrid>
      <w:tr w:rsidR="00BF045D" w14:paraId="1AF70A1D" w14:textId="77777777" w:rsidTr="00C57694">
        <w:trPr>
          <w:cantSplit/>
          <w:trHeight w:val="800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14:paraId="6D5CB649" w14:textId="77777777" w:rsidR="00BF045D" w:rsidRDefault="00BF045D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812" w:type="dxa"/>
            <w:shd w:val="clear" w:color="auto" w:fill="DBE5F1"/>
            <w:vAlign w:val="center"/>
          </w:tcPr>
          <w:p w14:paraId="18C9F28D" w14:textId="77777777" w:rsidR="00BF045D" w:rsidRDefault="00BF045D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5E9926B5" w14:textId="77777777" w:rsidR="00C57694" w:rsidRDefault="00C57694" w:rsidP="00C5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166AD195" w14:textId="346EDEAC" w:rsidR="00BF045D" w:rsidRDefault="00C57694" w:rsidP="00C57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683258" w14:paraId="1ED5991E" w14:textId="77777777" w:rsidTr="00C57694">
        <w:trPr>
          <w:cantSplit/>
          <w:trHeight w:val="1984"/>
        </w:trPr>
        <w:tc>
          <w:tcPr>
            <w:tcW w:w="1418" w:type="dxa"/>
            <w:vMerge/>
          </w:tcPr>
          <w:p w14:paraId="124BAADE" w14:textId="77777777" w:rsidR="00683258" w:rsidRDefault="00683258" w:rsidP="00683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E8168A9" w14:textId="77777777" w:rsidR="000053D6" w:rsidRDefault="000053D6" w:rsidP="0068325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3CD5FF" w14:textId="77777777" w:rsidR="00773748" w:rsidRPr="00116507" w:rsidRDefault="00773748" w:rsidP="007737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6507">
              <w:rPr>
                <w:rFonts w:ascii="Calibri" w:hAnsi="Calibri" w:cs="Calibri"/>
                <w:sz w:val="22"/>
                <w:szCs w:val="22"/>
              </w:rPr>
              <w:t xml:space="preserve">Rozumie rolę prawa w rozwiązywaniu problemów współczesnego </w:t>
            </w:r>
            <w:r w:rsidRPr="00773748">
              <w:rPr>
                <w:rFonts w:ascii="Calibri" w:hAnsi="Calibri" w:cs="Calibri"/>
                <w:sz w:val="22"/>
                <w:szCs w:val="22"/>
              </w:rPr>
              <w:t>systemu społecznego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, jak również dostrzega negatywne skutki </w:t>
            </w:r>
            <w:r w:rsidRPr="00773748">
              <w:rPr>
                <w:rFonts w:ascii="Calibri" w:hAnsi="Calibri" w:cs="Calibri"/>
                <w:sz w:val="22"/>
                <w:szCs w:val="22"/>
              </w:rPr>
              <w:t>regulacji prawnych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, wykazuje przy tym postawę </w:t>
            </w:r>
            <w:r w:rsidRPr="00773748">
              <w:rPr>
                <w:rFonts w:ascii="Calibri" w:hAnsi="Calibri" w:cs="Calibri"/>
                <w:sz w:val="22"/>
                <w:szCs w:val="22"/>
              </w:rPr>
              <w:t>zaangażowania i kreatywności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 w proponowaniu rozwiązań </w:t>
            </w:r>
          </w:p>
          <w:p w14:paraId="7114B139" w14:textId="77777777" w:rsidR="00773748" w:rsidRDefault="00773748" w:rsidP="007737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AA9727" w14:textId="77777777" w:rsidR="00773748" w:rsidRDefault="00773748" w:rsidP="007737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A8D15D3" w14:textId="5BA2A3E7" w:rsidR="00683258" w:rsidRPr="00116507" w:rsidRDefault="00683258" w:rsidP="007737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6507">
              <w:rPr>
                <w:rFonts w:ascii="Calibri" w:hAnsi="Calibri" w:cs="Calibri"/>
                <w:sz w:val="22"/>
                <w:szCs w:val="22"/>
              </w:rPr>
              <w:t xml:space="preserve">Potrafi refleksyjnie i krytycznie ocenić </w:t>
            </w:r>
            <w:r w:rsidRPr="00773748">
              <w:rPr>
                <w:rFonts w:ascii="Calibri" w:hAnsi="Calibri" w:cs="Calibri"/>
                <w:sz w:val="22"/>
                <w:szCs w:val="22"/>
              </w:rPr>
              <w:t>działalność instytucji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 prawnych z punktu widzenia narzędzi socjologicznych </w:t>
            </w:r>
          </w:p>
          <w:p w14:paraId="218B2A47" w14:textId="77777777" w:rsidR="00683258" w:rsidRDefault="00683258" w:rsidP="007737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F9355F" w14:textId="77777777" w:rsidR="000053D6" w:rsidRPr="00116507" w:rsidRDefault="000053D6" w:rsidP="007737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98EBA5" w14:textId="23DD2072" w:rsidR="000053D6" w:rsidRPr="00116507" w:rsidRDefault="00683258" w:rsidP="007737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6507">
              <w:rPr>
                <w:rFonts w:ascii="Calibri" w:hAnsi="Calibri" w:cs="Calibri"/>
                <w:sz w:val="22"/>
                <w:szCs w:val="22"/>
              </w:rPr>
              <w:t xml:space="preserve">Rozumie </w:t>
            </w:r>
            <w:r w:rsidRPr="00773748">
              <w:rPr>
                <w:rFonts w:ascii="Calibri" w:hAnsi="Calibri" w:cs="Calibri"/>
                <w:sz w:val="22"/>
                <w:szCs w:val="22"/>
              </w:rPr>
              <w:t>etyczne problemy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 prawa Jest tolerancyjny wobec różnorodnych systemów prawnych, k</w:t>
            </w:r>
            <w:r w:rsidRPr="00773748">
              <w:rPr>
                <w:rFonts w:ascii="Calibri" w:hAnsi="Calibri" w:cs="Calibri"/>
                <w:sz w:val="22"/>
                <w:szCs w:val="22"/>
              </w:rPr>
              <w:t>ulturowego</w:t>
            </w:r>
            <w:r w:rsidRPr="00116507">
              <w:rPr>
                <w:rFonts w:ascii="Calibri" w:hAnsi="Calibri" w:cs="Calibri"/>
                <w:sz w:val="22"/>
                <w:szCs w:val="22"/>
              </w:rPr>
              <w:t xml:space="preserve"> zróżnicowanie norm </w:t>
            </w:r>
          </w:p>
          <w:p w14:paraId="1132BD4F" w14:textId="70D5F113" w:rsidR="00683258" w:rsidRDefault="00683258" w:rsidP="00773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BD4401" w14:textId="77777777" w:rsidR="00683258" w:rsidRDefault="00683258" w:rsidP="00683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693D6" w14:textId="77777777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A7A3D" w14:textId="7F257778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  <w:p w14:paraId="066077DD" w14:textId="77777777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31CDF" w14:textId="77777777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52F01" w14:textId="77777777" w:rsidR="00773748" w:rsidRPr="00773748" w:rsidRDefault="00773748" w:rsidP="00683258">
            <w:pPr>
              <w:rPr>
                <w:rFonts w:ascii="Arial" w:hAnsi="Arial" w:cs="Arial"/>
              </w:rPr>
            </w:pPr>
          </w:p>
          <w:p w14:paraId="53C90F4E" w14:textId="77777777" w:rsidR="00773748" w:rsidRPr="00773748" w:rsidRDefault="00773748" w:rsidP="00683258">
            <w:pPr>
              <w:rPr>
                <w:rFonts w:ascii="Arial" w:hAnsi="Arial" w:cs="Arial"/>
              </w:rPr>
            </w:pPr>
          </w:p>
          <w:p w14:paraId="635D0A49" w14:textId="77777777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76AB5" w14:textId="77777777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2386F" w14:textId="77777777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  <w:p w14:paraId="318C0906" w14:textId="77777777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2E9BF" w14:textId="77777777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E2890" w14:textId="77777777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26C69" w14:textId="77777777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86AF9" w14:textId="532C99CA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  <w:p w14:paraId="1B942ED6" w14:textId="183716E6" w:rsidR="00773748" w:rsidRDefault="00773748" w:rsidP="0068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K07</w:t>
            </w:r>
          </w:p>
        </w:tc>
      </w:tr>
    </w:tbl>
    <w:p w14:paraId="0BB5649A" w14:textId="01FBBCF1" w:rsidR="00BF045D" w:rsidRDefault="00BF045D" w:rsidP="00BF045D">
      <w:pPr>
        <w:rPr>
          <w:rFonts w:ascii="Arial" w:hAnsi="Arial" w:cs="Arial"/>
          <w:sz w:val="22"/>
          <w:szCs w:val="16"/>
        </w:rPr>
      </w:pPr>
    </w:p>
    <w:p w14:paraId="2132FDB7" w14:textId="77777777" w:rsidR="009B5F75" w:rsidRDefault="009B5F75" w:rsidP="00BF045D">
      <w:pPr>
        <w:rPr>
          <w:rFonts w:ascii="Arial" w:hAnsi="Arial" w:cs="Arial"/>
          <w:sz w:val="22"/>
          <w:szCs w:val="16"/>
        </w:rPr>
      </w:pPr>
    </w:p>
    <w:p w14:paraId="0B2DD9E8" w14:textId="77777777" w:rsidR="009B5F75" w:rsidRDefault="009B5F75" w:rsidP="00BF045D">
      <w:pPr>
        <w:rPr>
          <w:rFonts w:ascii="Arial" w:hAnsi="Arial" w:cs="Arial"/>
          <w:sz w:val="22"/>
          <w:szCs w:val="16"/>
        </w:rPr>
      </w:pPr>
    </w:p>
    <w:p w14:paraId="3C3C0A61" w14:textId="77777777" w:rsidR="009B5F75" w:rsidRDefault="009B5F75" w:rsidP="00BF045D">
      <w:pPr>
        <w:rPr>
          <w:rFonts w:ascii="Arial" w:hAnsi="Arial" w:cs="Arial"/>
          <w:sz w:val="22"/>
          <w:szCs w:val="16"/>
        </w:rPr>
      </w:pPr>
    </w:p>
    <w:tbl>
      <w:tblPr>
        <w:tblW w:w="9923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567"/>
      </w:tblGrid>
      <w:tr w:rsidR="00BF045D" w14:paraId="7EEE6F84" w14:textId="77777777" w:rsidTr="00C57694">
        <w:trPr>
          <w:cantSplit/>
          <w:trHeight w:hRule="exact" w:val="424"/>
        </w:trPr>
        <w:tc>
          <w:tcPr>
            <w:tcW w:w="9923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11BA5" w14:textId="77777777" w:rsidR="00BF045D" w:rsidRDefault="00BF045D" w:rsidP="00F72A8B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F045D" w14:paraId="7070B641" w14:textId="77777777" w:rsidTr="00C5769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C390E58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3E81551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986ABFB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7087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070B6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F045D" w14:paraId="3D1B2CFC" w14:textId="77777777" w:rsidTr="00C5769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F0CC809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862D4D1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B1DB6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DFF830B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E53121D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3EAC990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14369C9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23E2102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850D29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F56CA04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90D969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2F188CD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1A23D3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14:paraId="00DD192B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5D" w14:paraId="2AD91CEC" w14:textId="77777777" w:rsidTr="00C5769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6999963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D9E4819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0DED2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0DBCD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EED4C8C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9E611D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006F99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C62728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DA15A" w14:textId="77777777" w:rsidR="00BF045D" w:rsidRDefault="00BF045D" w:rsidP="00BF045D">
      <w:pPr>
        <w:pStyle w:val="Zawartotabeli"/>
        <w:rPr>
          <w:rFonts w:ascii="Arial" w:hAnsi="Arial" w:cs="Arial"/>
          <w:sz w:val="22"/>
          <w:szCs w:val="16"/>
        </w:rPr>
      </w:pPr>
    </w:p>
    <w:p w14:paraId="024AD083" w14:textId="77777777" w:rsidR="009B5F75" w:rsidRDefault="009B5F75" w:rsidP="00BF045D">
      <w:pPr>
        <w:pStyle w:val="Zawartotabeli"/>
        <w:rPr>
          <w:rFonts w:ascii="Arial" w:hAnsi="Arial" w:cs="Arial"/>
          <w:sz w:val="22"/>
          <w:szCs w:val="16"/>
        </w:rPr>
      </w:pPr>
    </w:p>
    <w:p w14:paraId="2A93A7A1" w14:textId="77777777" w:rsidR="00BF045D" w:rsidRDefault="00BF045D" w:rsidP="00BF045D">
      <w:pPr>
        <w:pStyle w:val="Zawartotabeli"/>
        <w:rPr>
          <w:rFonts w:ascii="Arial" w:hAnsi="Arial" w:cs="Arial"/>
          <w:sz w:val="22"/>
          <w:szCs w:val="16"/>
        </w:rPr>
      </w:pPr>
    </w:p>
    <w:p w14:paraId="7D928C39" w14:textId="77777777" w:rsidR="00BF045D" w:rsidRDefault="00BF045D" w:rsidP="00BF045D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A1A6482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F045D" w14:paraId="3E960243" w14:textId="77777777" w:rsidTr="00C57694">
        <w:trPr>
          <w:trHeight w:val="415"/>
        </w:trPr>
        <w:tc>
          <w:tcPr>
            <w:tcW w:w="9622" w:type="dxa"/>
          </w:tcPr>
          <w:p w14:paraId="1C85724A" w14:textId="77777777" w:rsidR="00683258" w:rsidRPr="00116507" w:rsidRDefault="00683258" w:rsidP="009B5F75">
            <w:pPr>
              <w:pStyle w:val="Tekstkomentarza"/>
              <w:spacing w:before="120" w:line="360" w:lineRule="auto"/>
              <w:ind w:lef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6507">
              <w:rPr>
                <w:rFonts w:ascii="Calibri" w:hAnsi="Calibri" w:cs="Calibri"/>
                <w:sz w:val="22"/>
                <w:szCs w:val="22"/>
              </w:rPr>
              <w:t>Główną metodą prowadzenia wykładów jest metoda podawcza z elementami konwersatorium.</w:t>
            </w:r>
          </w:p>
          <w:p w14:paraId="467E41D8" w14:textId="77777777" w:rsidR="00683258" w:rsidRPr="00116507" w:rsidRDefault="00683258" w:rsidP="009B5F75">
            <w:pPr>
              <w:pStyle w:val="Tekstkomentarza"/>
              <w:spacing w:before="120" w:line="360" w:lineRule="auto"/>
              <w:ind w:lef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6507">
              <w:rPr>
                <w:rFonts w:ascii="Calibri" w:hAnsi="Calibri" w:cs="Calibri"/>
                <w:sz w:val="22"/>
                <w:szCs w:val="22"/>
              </w:rPr>
              <w:t xml:space="preserve">W ramach wykładów prezentowane są również materiały wizualne i oficjalne raporty, które stanowią ilustrację dla omawianych treści i pozwalają na zaprezentowanie praktycznych zastosowań przedstawianych koncepcji. Wykorzystuje się prezentacje multimedialną. </w:t>
            </w:r>
          </w:p>
          <w:p w14:paraId="618ECE87" w14:textId="2B400B97" w:rsidR="00BF045D" w:rsidRPr="00126001" w:rsidRDefault="00BF045D" w:rsidP="00683258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661E035" w14:textId="77777777" w:rsidR="00BF045D" w:rsidRDefault="00BF045D" w:rsidP="00BF045D">
      <w:pPr>
        <w:pStyle w:val="Zawartotabeli"/>
        <w:rPr>
          <w:rFonts w:ascii="Arial" w:hAnsi="Arial" w:cs="Arial"/>
          <w:sz w:val="22"/>
          <w:szCs w:val="16"/>
        </w:rPr>
      </w:pPr>
    </w:p>
    <w:p w14:paraId="250EC6CA" w14:textId="77777777" w:rsidR="009B5F75" w:rsidRDefault="009B5F75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63E32147" w14:textId="6B0B2170" w:rsidR="00BF045D" w:rsidRDefault="00BF045D" w:rsidP="00BF045D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1B807A56" w14:textId="77777777" w:rsidR="00BF045D" w:rsidRDefault="00BF045D" w:rsidP="00BF045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F045D" w14:paraId="021B9F48" w14:textId="77777777" w:rsidTr="00F72A8B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AE1EB0B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802C882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D2EFF4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4C3D7C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DF695C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D9A174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139561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2568851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B82D98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0B9F377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8BE0582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E60791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BD407C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5FA3CC" w14:textId="77777777" w:rsidR="00BF045D" w:rsidRDefault="00BF045D" w:rsidP="00F72A8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F045D" w14:paraId="306CD7FA" w14:textId="77777777" w:rsidTr="00F72A8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8BA3C48" w14:textId="5625B503" w:rsidR="00BF045D" w:rsidRDefault="000053D6" w:rsidP="00F72A8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BA7A007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B2FF7E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003B2C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EADBE0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0218DD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808CC3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A4CA57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F3399C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8F5CC85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8B3E2A8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0B26CA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DBF278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F1AC53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BF045D" w14:paraId="4EED4D5C" w14:textId="77777777" w:rsidTr="00F72A8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384CBFF" w14:textId="1782DEA9" w:rsidR="00BF045D" w:rsidRDefault="000053D6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ED54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6892C12A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0945B1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C3848C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C0C241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E917D2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43B5D1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A30DA8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4FD441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B8E7C82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44B583A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84811C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59F96B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C26D70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BF045D" w14:paraId="0146A228" w14:textId="77777777" w:rsidTr="00F72A8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0BD9CF0" w14:textId="53E48909" w:rsidR="00BF045D" w:rsidRDefault="00532C66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ED54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053A66DA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886D7F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DD7E3C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4076DD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1CBAD1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379A6F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2C86D9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3E386E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E07A8B4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6DFEBF0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6B3B44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CD7AD1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ED78F9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BF045D" w14:paraId="6A2DAD49" w14:textId="77777777" w:rsidTr="00F72A8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DC786C4" w14:textId="5951BC7D" w:rsidR="00BF045D" w:rsidRDefault="000053D6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ED54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14:paraId="3A89C374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1C0B99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F5D5A2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1174A8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B50B79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8614E0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DB88DA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1DE4DE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AE1F209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90F37DC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DEBEAC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45BED3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9B68588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BF045D" w14:paraId="2DEBF149" w14:textId="77777777" w:rsidTr="00F72A8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55DC586" w14:textId="38D6252C" w:rsidR="00BF045D" w:rsidRDefault="00773748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96F971F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055A67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69E89A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0D24DB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4B8EEC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B6B167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C099B5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D56DB4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FDE47AA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D702438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2A3B8D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3B8DCD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BBDBCB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BF045D" w14:paraId="52F46FE0" w14:textId="77777777" w:rsidTr="00F72A8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F943EA2" w14:textId="27F634E5" w:rsidR="00BF045D" w:rsidRDefault="00773748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533A0C6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AB9031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C76D7C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C00509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8E260D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569D43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DBD354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471C01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60A1EB8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D492FD7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BD3162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1C5432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DD6C29B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BF045D" w14:paraId="0B833839" w14:textId="77777777" w:rsidTr="00F72A8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674CDBA" w14:textId="65AB6E98" w:rsidR="00BF045D" w:rsidRDefault="00532C66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ED54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4A051AE2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E5206D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19C4A6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99DFFB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328B8E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20AB97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639401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319D29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96733F1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7407CBE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FE56D9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5683CC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0AEF18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BF045D" w14:paraId="6A270BEF" w14:textId="77777777" w:rsidTr="00F72A8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A8E7244" w14:textId="410D0174" w:rsidR="00BF045D" w:rsidRDefault="00773748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5C26E66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1214C6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B3C1FB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2569AF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5464EC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B07F6F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15AD06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9BA801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E890CB2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AB8FCCD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C7334A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079086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403B12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BF045D" w14:paraId="2C9F9903" w14:textId="77777777" w:rsidTr="00F72A8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701CD53" w14:textId="60DCA523" w:rsidR="00BF045D" w:rsidRDefault="00773748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B2EF2E0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282974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CB3C2D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D08010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CDA700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8C85E4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F93BF7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7E5F28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E152EA2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DAB0A65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BA7CCF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531347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4174ADC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BF045D" w14:paraId="343D23B5" w14:textId="77777777" w:rsidTr="00F72A8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1BDDFAF" w14:textId="27392346" w:rsidR="00BF045D" w:rsidRDefault="00773748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6C3AFD03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093E06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9D462B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99BF3B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4A0B95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AB221B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482A84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93F973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1D56F0B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411D0AB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7ED12A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2B1612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FA73E6" w14:textId="77777777" w:rsidR="00BF045D" w:rsidRDefault="00BF045D" w:rsidP="00F72A8B">
            <w:pPr>
              <w:rPr>
                <w:rFonts w:ascii="Arial" w:hAnsi="Arial" w:cs="Arial"/>
                <w:sz w:val="22"/>
              </w:rPr>
            </w:pPr>
          </w:p>
        </w:tc>
      </w:tr>
      <w:tr w:rsidR="00532C66" w14:paraId="3A2CDF70" w14:textId="77777777" w:rsidTr="00F72A8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997A001" w14:textId="3BC931AB" w:rsidR="00532C66" w:rsidRDefault="00532C66" w:rsidP="00F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D54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14:paraId="28E22333" w14:textId="77777777" w:rsidR="00532C66" w:rsidRDefault="00532C66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6D3765" w14:textId="77777777" w:rsidR="00532C66" w:rsidRDefault="00532C66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F2C555" w14:textId="77777777" w:rsidR="00532C66" w:rsidRDefault="00532C66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8904BA" w14:textId="77777777" w:rsidR="00532C66" w:rsidRDefault="00532C66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872BEA" w14:textId="77777777" w:rsidR="00532C66" w:rsidRDefault="00532C66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AC6968" w14:textId="77777777" w:rsidR="00532C66" w:rsidRDefault="00532C66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547380" w14:textId="77777777" w:rsidR="00532C66" w:rsidRDefault="00532C66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DFE299" w14:textId="77777777" w:rsidR="00532C66" w:rsidRDefault="00532C66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C04CD0B" w14:textId="77777777" w:rsidR="00532C66" w:rsidRDefault="00532C66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F3AE116" w14:textId="77777777" w:rsidR="00532C66" w:rsidRDefault="00532C66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D9C469" w14:textId="77777777" w:rsidR="00532C66" w:rsidRDefault="00532C66" w:rsidP="00F72A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50CB8F" w14:textId="30833162" w:rsidR="00532C66" w:rsidRDefault="00ED54FF" w:rsidP="00F72A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F9DF782" w14:textId="77777777" w:rsidR="00532C66" w:rsidRDefault="00532C66" w:rsidP="00F72A8B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0D421E" w14:textId="77777777" w:rsidR="009B5F75" w:rsidRDefault="009B5F75" w:rsidP="00BF045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045D" w14:paraId="1CBC8290" w14:textId="77777777" w:rsidTr="00C57694">
        <w:trPr>
          <w:trHeight w:val="2122"/>
        </w:trPr>
        <w:tc>
          <w:tcPr>
            <w:tcW w:w="1941" w:type="dxa"/>
            <w:shd w:val="clear" w:color="auto" w:fill="DBE5F1"/>
            <w:vAlign w:val="center"/>
          </w:tcPr>
          <w:p w14:paraId="7B04E4DF" w14:textId="77777777" w:rsidR="00BF045D" w:rsidRDefault="00BF045D" w:rsidP="00F72A8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7086018" w14:textId="30EFF4E6" w:rsidR="00683258" w:rsidRPr="00A131F5" w:rsidRDefault="00BF045D" w:rsidP="0068325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683258" w:rsidRPr="002A5D3F">
              <w:rPr>
                <w:rFonts w:ascii="Calibri" w:hAnsi="Calibri" w:cs="Calibri"/>
                <w:sz w:val="22"/>
                <w:szCs w:val="22"/>
              </w:rPr>
              <w:t>Zaliczenie na podstawie: obecności na zajęciach (co najmniej 50%), zaliczenie pisemnego</w:t>
            </w:r>
            <w:r w:rsidR="00683258">
              <w:rPr>
                <w:rFonts w:ascii="Calibri" w:hAnsi="Calibri" w:cs="Calibri"/>
                <w:sz w:val="22"/>
                <w:szCs w:val="22"/>
              </w:rPr>
              <w:t xml:space="preserve"> testu</w:t>
            </w:r>
            <w:r w:rsidR="00683258" w:rsidRPr="002A5D3F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175B733B" w14:textId="77777777" w:rsidR="00683258" w:rsidRPr="002A5D3F" w:rsidRDefault="00683258" w:rsidP="00683258">
            <w:pPr>
              <w:pStyle w:val="Zawartotabeli"/>
              <w:spacing w:before="57" w:after="57"/>
              <w:rPr>
                <w:rFonts w:ascii="Calibri" w:hAnsi="Calibri" w:cs="Arial"/>
                <w:sz w:val="22"/>
                <w:szCs w:val="22"/>
              </w:rPr>
            </w:pPr>
            <w:r w:rsidRPr="002A5D3F">
              <w:rPr>
                <w:rFonts w:ascii="Calibri" w:hAnsi="Calibri" w:cs="Arial"/>
                <w:sz w:val="22"/>
                <w:szCs w:val="22"/>
              </w:rPr>
              <w:t xml:space="preserve">Test jednokrotnego wyboru Pytania zamknięte jednokrotnego wyboru punktowane są 0-1 pkt. Student otrzymuje 1 pkt w przypadku właściwej odpowiedzi. </w:t>
            </w:r>
          </w:p>
          <w:p w14:paraId="757821FB" w14:textId="130EC384" w:rsidR="00BF045D" w:rsidRPr="009B5F75" w:rsidRDefault="00683258" w:rsidP="00683258">
            <w:pPr>
              <w:pStyle w:val="Zawartotabeli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 w:rsidRPr="002A5D3F">
              <w:rPr>
                <w:rFonts w:ascii="Calibri" w:hAnsi="Calibri" w:cs="Arial"/>
                <w:sz w:val="22"/>
                <w:szCs w:val="22"/>
              </w:rPr>
              <w:t xml:space="preserve">Zaliczenie na ocenę dostateczną: wymagana jest połowa punktów z testu + 1 pkt. Na ocenę dobrą wymagane jest uzyskanie 70% punktów z tekstu, a na ocenę bardzo dobrą 85% punktów z testu. </w:t>
            </w:r>
            <w:r w:rsidRPr="002A5D3F">
              <w:rPr>
                <w:rFonts w:ascii="Calibri" w:hAnsi="Calibri" w:cs="Calibri"/>
                <w:sz w:val="22"/>
                <w:szCs w:val="22"/>
              </w:rPr>
              <w:t xml:space="preserve">Skala ocen: niedostateczny, dostateczny, plus dostateczny, dobry, plus dobry, bardzo dobry. </w:t>
            </w:r>
            <w:r w:rsidRPr="002A5D3F">
              <w:rPr>
                <w:rFonts w:ascii="Calibri" w:hAnsi="Calibri" w:cs="Arial"/>
                <w:sz w:val="22"/>
                <w:szCs w:val="22"/>
              </w:rPr>
              <w:t>Skala ocen ustalana w zależności od liczby punktów możliwych do zdobycia w teście, np. w przypadku 25 pkt. na ocenę dostateczną wymagane jest osiągnięcie 13 pkt. itd.</w:t>
            </w:r>
          </w:p>
        </w:tc>
      </w:tr>
    </w:tbl>
    <w:p w14:paraId="474D323E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045D" w14:paraId="35C2DD72" w14:textId="77777777" w:rsidTr="00C57694">
        <w:trPr>
          <w:trHeight w:val="320"/>
        </w:trPr>
        <w:tc>
          <w:tcPr>
            <w:tcW w:w="1941" w:type="dxa"/>
            <w:shd w:val="clear" w:color="auto" w:fill="DBE5F1"/>
            <w:vAlign w:val="center"/>
          </w:tcPr>
          <w:p w14:paraId="778D60F1" w14:textId="77777777" w:rsidR="00BF045D" w:rsidRDefault="00BF045D" w:rsidP="00F72A8B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33B51EE" w14:textId="3EB55B87" w:rsidR="00BF045D" w:rsidRDefault="00683258" w:rsidP="00F72A8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</w:tc>
      </w:tr>
    </w:tbl>
    <w:p w14:paraId="28E2777D" w14:textId="77777777" w:rsidR="009B5F75" w:rsidRDefault="009B5F75" w:rsidP="00BF045D">
      <w:pPr>
        <w:rPr>
          <w:rFonts w:ascii="Arial" w:hAnsi="Arial" w:cs="Arial"/>
          <w:sz w:val="22"/>
          <w:szCs w:val="16"/>
        </w:rPr>
      </w:pPr>
    </w:p>
    <w:p w14:paraId="43F8145F" w14:textId="77777777" w:rsidR="00BF045D" w:rsidRDefault="00BF045D" w:rsidP="00BF0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1F3258C8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F045D" w14:paraId="35BE7437" w14:textId="77777777" w:rsidTr="00F72A8B">
        <w:trPr>
          <w:trHeight w:val="1136"/>
        </w:trPr>
        <w:tc>
          <w:tcPr>
            <w:tcW w:w="9622" w:type="dxa"/>
          </w:tcPr>
          <w:p w14:paraId="34B00AC6" w14:textId="77777777" w:rsidR="00683258" w:rsidRPr="009B5F75" w:rsidRDefault="00683258" w:rsidP="009B5F75">
            <w:pPr>
              <w:pStyle w:val="Tekstdymka2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B5F75">
              <w:rPr>
                <w:rFonts w:ascii="Calibri" w:hAnsi="Calibri" w:cs="Calibri"/>
                <w:sz w:val="24"/>
                <w:szCs w:val="24"/>
              </w:rPr>
              <w:t>Socjologia prawa a tradycyjny paradygmat uprawniania nauk prawnych</w:t>
            </w:r>
          </w:p>
          <w:p w14:paraId="609A2897" w14:textId="77777777" w:rsidR="00683258" w:rsidRPr="009B5F75" w:rsidRDefault="00683258" w:rsidP="009B5F75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</w:rPr>
            </w:pPr>
            <w:r w:rsidRPr="009B5F75">
              <w:rPr>
                <w:rFonts w:ascii="Calibri" w:hAnsi="Calibri" w:cs="Calibri"/>
              </w:rPr>
              <w:t xml:space="preserve">Klasyczne teorie socjologiczne dotyczące prawa </w:t>
            </w:r>
          </w:p>
          <w:p w14:paraId="151420D2" w14:textId="2129141F" w:rsidR="00683258" w:rsidRPr="009B5F75" w:rsidRDefault="00683258" w:rsidP="009B5F75">
            <w:pPr>
              <w:pStyle w:val="Tekstkomentarz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B5F75">
              <w:rPr>
                <w:rFonts w:ascii="Calibri" w:hAnsi="Calibri" w:cs="Calibri"/>
                <w:sz w:val="24"/>
                <w:szCs w:val="24"/>
              </w:rPr>
              <w:t xml:space="preserve">Instytucje społeczne, instytucje prawne. </w:t>
            </w:r>
          </w:p>
          <w:p w14:paraId="403BC459" w14:textId="77777777" w:rsidR="00683258" w:rsidRPr="009B5F75" w:rsidRDefault="00683258" w:rsidP="009B5F75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</w:rPr>
            </w:pPr>
            <w:r w:rsidRPr="009B5F75">
              <w:rPr>
                <w:rFonts w:ascii="Calibri" w:hAnsi="Calibri" w:cs="Calibri"/>
              </w:rPr>
              <w:t>Prawo a inne systemy normatywne, kultury prawne, pluralizm prawny</w:t>
            </w:r>
          </w:p>
          <w:p w14:paraId="4FE85CAD" w14:textId="77777777" w:rsidR="00683258" w:rsidRPr="009B5F75" w:rsidRDefault="00683258" w:rsidP="009B5F75">
            <w:pPr>
              <w:pStyle w:val="Tekstkomentarz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B5F75">
              <w:rPr>
                <w:rFonts w:ascii="Calibri" w:hAnsi="Calibri" w:cs="Calibri"/>
                <w:sz w:val="24"/>
                <w:szCs w:val="24"/>
              </w:rPr>
              <w:t xml:space="preserve">Kontrola społeczna. Prawo a władza. Prawo a ideologia. </w:t>
            </w:r>
          </w:p>
          <w:p w14:paraId="20384A97" w14:textId="77777777" w:rsidR="00683258" w:rsidRPr="009B5F75" w:rsidRDefault="00683258" w:rsidP="009B5F75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</w:rPr>
            </w:pPr>
            <w:r w:rsidRPr="009B5F75">
              <w:rPr>
                <w:rFonts w:ascii="Calibri" w:hAnsi="Calibri" w:cs="Calibri"/>
              </w:rPr>
              <w:t xml:space="preserve">Socjologia krytyczna prawa i władza symboliczna prawa </w:t>
            </w:r>
          </w:p>
          <w:p w14:paraId="2A92525B" w14:textId="77777777" w:rsidR="00683258" w:rsidRPr="009B5F75" w:rsidRDefault="00683258" w:rsidP="009B5F75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</w:rPr>
            </w:pPr>
            <w:r w:rsidRPr="009B5F75">
              <w:rPr>
                <w:rFonts w:ascii="Calibri" w:hAnsi="Calibri" w:cs="Calibri"/>
              </w:rPr>
              <w:t xml:space="preserve">Prawo jako rytuał. Społeczne konstruowanie prawa. </w:t>
            </w:r>
          </w:p>
          <w:p w14:paraId="41DC2684" w14:textId="4A6E3C2F" w:rsidR="00BF045D" w:rsidRPr="00C57694" w:rsidRDefault="00683258" w:rsidP="009B5F7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5F75">
              <w:rPr>
                <w:rFonts w:ascii="Calibri" w:hAnsi="Calibri" w:cs="Calibri"/>
              </w:rPr>
              <w:t>Badania empiryczne w prawie na przykładach.</w:t>
            </w:r>
          </w:p>
        </w:tc>
      </w:tr>
    </w:tbl>
    <w:p w14:paraId="1F7093A3" w14:textId="77777777" w:rsidR="00837479" w:rsidRDefault="00837479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C2BD886" w14:textId="02D0CDB7" w:rsidR="00BF045D" w:rsidRDefault="00BF045D" w:rsidP="00BF0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791E5129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F045D" w14:paraId="5204A284" w14:textId="77777777" w:rsidTr="00837479">
        <w:trPr>
          <w:trHeight w:val="270"/>
        </w:trPr>
        <w:tc>
          <w:tcPr>
            <w:tcW w:w="9622" w:type="dxa"/>
          </w:tcPr>
          <w:p w14:paraId="34669189" w14:textId="58E08F5D" w:rsidR="00683258" w:rsidRPr="0047592D" w:rsidRDefault="00683258" w:rsidP="009B5F75">
            <w:pPr>
              <w:spacing w:line="276" w:lineRule="auto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47592D">
              <w:rPr>
                <w:rFonts w:ascii="Calibri" w:hAnsi="Calibri" w:cs="Calibri"/>
                <w:sz w:val="22"/>
                <w:szCs w:val="22"/>
              </w:rPr>
              <w:t xml:space="preserve">Berger P.L., </w:t>
            </w:r>
            <w:r w:rsidRPr="0047592D">
              <w:rPr>
                <w:rFonts w:ascii="Calibri" w:hAnsi="Calibri" w:cs="Calibri"/>
                <w:i/>
                <w:sz w:val="22"/>
                <w:szCs w:val="22"/>
              </w:rPr>
              <w:t>Zaproszenie do socjologii</w:t>
            </w:r>
            <w:r w:rsidRPr="0047592D">
              <w:rPr>
                <w:rFonts w:ascii="Calibri" w:hAnsi="Calibri" w:cs="Calibri"/>
                <w:sz w:val="22"/>
                <w:szCs w:val="22"/>
              </w:rPr>
              <w:t xml:space="preserve">, PWN, 1995 (fragmenty) </w:t>
            </w:r>
          </w:p>
          <w:p w14:paraId="5DEA0DB5" w14:textId="77777777" w:rsidR="00683258" w:rsidRPr="0047592D" w:rsidRDefault="00683258" w:rsidP="009B5F75">
            <w:pPr>
              <w:spacing w:line="276" w:lineRule="auto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7592D">
              <w:rPr>
                <w:rFonts w:ascii="Calibri" w:hAnsi="Calibri" w:cs="Calibri"/>
                <w:sz w:val="22"/>
                <w:szCs w:val="22"/>
              </w:rPr>
              <w:t>Debska</w:t>
            </w:r>
            <w:proofErr w:type="spellEnd"/>
            <w:r w:rsidRPr="0047592D">
              <w:rPr>
                <w:rFonts w:ascii="Calibri" w:hAnsi="Calibri" w:cs="Calibri"/>
                <w:sz w:val="22"/>
                <w:szCs w:val="22"/>
              </w:rPr>
              <w:t xml:space="preserve"> H., </w:t>
            </w:r>
            <w:r w:rsidRPr="0047592D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Trybunał Konstytucyjny w poszukiwaniu legitymizacji. Szkic z socjologii prawa</w:t>
            </w:r>
            <w:r w:rsidRPr="0047592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47592D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Studia Prawnicze</w:t>
            </w:r>
            <w:r w:rsidRPr="0047592D">
              <w:rPr>
                <w:rFonts w:ascii="Calibri" w:eastAsia="Calibri" w:hAnsi="Calibri"/>
                <w:sz w:val="22"/>
                <w:szCs w:val="22"/>
                <w:lang w:eastAsia="en-US"/>
              </w:rPr>
              <w:t>, nr 4/2015:23-41.</w:t>
            </w:r>
          </w:p>
          <w:p w14:paraId="771CC9E5" w14:textId="77777777" w:rsidR="00683258" w:rsidRPr="0047592D" w:rsidRDefault="00683258" w:rsidP="009B5F75">
            <w:pPr>
              <w:spacing w:line="276" w:lineRule="auto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47592D">
              <w:rPr>
                <w:rFonts w:ascii="Calibri" w:hAnsi="Calibri" w:cs="Calibri"/>
                <w:sz w:val="22"/>
                <w:szCs w:val="22"/>
              </w:rPr>
              <w:t xml:space="preserve">Dębska H., </w:t>
            </w:r>
            <w:r w:rsidRPr="0047592D">
              <w:rPr>
                <w:rFonts w:ascii="Calibri" w:hAnsi="Calibri" w:cs="Calibri"/>
                <w:i/>
                <w:sz w:val="22"/>
                <w:szCs w:val="22"/>
              </w:rPr>
              <w:t xml:space="preserve">Od władzy normatywnej do władzy symbolicznej. Podejście Pierre’a </w:t>
            </w:r>
            <w:proofErr w:type="spellStart"/>
            <w:r w:rsidRPr="0047592D">
              <w:rPr>
                <w:rFonts w:ascii="Calibri" w:hAnsi="Calibri" w:cs="Calibri"/>
                <w:i/>
                <w:sz w:val="22"/>
                <w:szCs w:val="22"/>
              </w:rPr>
              <w:t>Bourdieu</w:t>
            </w:r>
            <w:proofErr w:type="spellEnd"/>
            <w:r w:rsidRPr="0047592D">
              <w:rPr>
                <w:rFonts w:ascii="Calibri" w:hAnsi="Calibri" w:cs="Calibri"/>
                <w:sz w:val="22"/>
                <w:szCs w:val="22"/>
              </w:rPr>
              <w:t xml:space="preserve"> [w:] </w:t>
            </w:r>
            <w:r w:rsidRPr="0047592D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Wielowymiarowość prawa</w:t>
            </w:r>
            <w:r w:rsidRPr="0047592D">
              <w:rPr>
                <w:rFonts w:ascii="Calibri" w:eastAsia="Calibri" w:hAnsi="Calibri"/>
                <w:sz w:val="22"/>
                <w:szCs w:val="22"/>
                <w:lang w:eastAsia="en-US"/>
              </w:rPr>
              <w:t>, J. Czapska, M. Dudek, M. Stępień (</w:t>
            </w:r>
            <w:proofErr w:type="spellStart"/>
            <w:r w:rsidRPr="0047592D">
              <w:rPr>
                <w:rFonts w:ascii="Calibri" w:eastAsia="Calibri" w:hAnsi="Calibri"/>
                <w:sz w:val="22"/>
                <w:szCs w:val="22"/>
                <w:lang w:eastAsia="en-US"/>
              </w:rPr>
              <w:t>eds</w:t>
            </w:r>
            <w:proofErr w:type="spellEnd"/>
            <w:r w:rsidRPr="0047592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.). Toruń (2014): 390-402. </w:t>
            </w:r>
          </w:p>
          <w:p w14:paraId="267A3AAC" w14:textId="77777777" w:rsidR="00683258" w:rsidRPr="0047592D" w:rsidRDefault="00683258" w:rsidP="009B5F75">
            <w:pPr>
              <w:spacing w:line="276" w:lineRule="auto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47592D">
              <w:rPr>
                <w:rFonts w:ascii="Calibri" w:hAnsi="Calibri" w:cs="Calibri"/>
                <w:sz w:val="22"/>
                <w:szCs w:val="22"/>
              </w:rPr>
              <w:t xml:space="preserve">Dębska H., </w:t>
            </w:r>
            <w:r w:rsidRPr="0047592D">
              <w:rPr>
                <w:rFonts w:ascii="Calibri" w:hAnsi="Calibri" w:cs="Calibri"/>
                <w:i/>
                <w:sz w:val="22"/>
                <w:szCs w:val="22"/>
              </w:rPr>
              <w:t xml:space="preserve">Refleksyjność strukturalna prawa. Socjologia Pierre’a </w:t>
            </w:r>
            <w:proofErr w:type="spellStart"/>
            <w:r w:rsidRPr="0047592D">
              <w:rPr>
                <w:rFonts w:ascii="Calibri" w:hAnsi="Calibri" w:cs="Calibri"/>
                <w:i/>
                <w:sz w:val="22"/>
                <w:szCs w:val="22"/>
              </w:rPr>
              <w:t>Bourdieu</w:t>
            </w:r>
            <w:proofErr w:type="spellEnd"/>
            <w:r w:rsidRPr="0047592D">
              <w:rPr>
                <w:rFonts w:ascii="Calibri" w:hAnsi="Calibri" w:cs="Calibri"/>
                <w:sz w:val="22"/>
                <w:szCs w:val="22"/>
              </w:rPr>
              <w:t xml:space="preserve"> [w:] Refleksyjność w prawnie. Konteksty i zastosowania, K. Kaleta, P. </w:t>
            </w:r>
            <w:proofErr w:type="spellStart"/>
            <w:r w:rsidRPr="0047592D">
              <w:rPr>
                <w:rFonts w:ascii="Calibri" w:hAnsi="Calibri" w:cs="Calibri"/>
                <w:sz w:val="22"/>
                <w:szCs w:val="22"/>
              </w:rPr>
              <w:t>Skuczyński</w:t>
            </w:r>
            <w:proofErr w:type="spellEnd"/>
            <w:r w:rsidRPr="0047592D">
              <w:rPr>
                <w:rFonts w:ascii="Calibri" w:hAnsi="Calibri" w:cs="Calibri"/>
                <w:sz w:val="22"/>
                <w:szCs w:val="22"/>
              </w:rPr>
              <w:t xml:space="preserve"> (red.), Wyd. UW 2015. </w:t>
            </w:r>
          </w:p>
          <w:p w14:paraId="3A29A24A" w14:textId="77777777" w:rsidR="00683258" w:rsidRPr="0047592D" w:rsidRDefault="00683258" w:rsidP="009B5F75">
            <w:pPr>
              <w:widowControl/>
              <w:suppressAutoHyphens w:val="0"/>
              <w:autoSpaceDE/>
              <w:spacing w:line="276" w:lineRule="auto"/>
              <w:ind w:left="567" w:hanging="567"/>
              <w:contextualSpacing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7592D">
              <w:rPr>
                <w:rFonts w:ascii="Calibri" w:hAnsi="Calibri"/>
                <w:sz w:val="22"/>
                <w:szCs w:val="22"/>
              </w:rPr>
              <w:t xml:space="preserve">Dębska H., Warczok T., </w:t>
            </w:r>
            <w:r w:rsidRPr="0047592D">
              <w:rPr>
                <w:rFonts w:ascii="Calibri" w:hAnsi="Calibri"/>
                <w:i/>
                <w:sz w:val="22"/>
                <w:szCs w:val="22"/>
              </w:rPr>
              <w:t>Proces legitymizacji Trybunału Konstytucyjnego. Podejście relacyjne</w:t>
            </w:r>
            <w:r w:rsidRPr="0047592D">
              <w:rPr>
                <w:rFonts w:ascii="Calibri" w:hAnsi="Calibri"/>
                <w:sz w:val="22"/>
                <w:szCs w:val="22"/>
              </w:rPr>
              <w:t>, Ruch Prawniczy, Ekonomiczny i Socjologiczny, nr 2/2020:247-264</w:t>
            </w:r>
          </w:p>
          <w:p w14:paraId="6A43C77F" w14:textId="77777777" w:rsidR="00683258" w:rsidRPr="0047592D" w:rsidRDefault="00683258" w:rsidP="009B5F75">
            <w:pPr>
              <w:spacing w:line="276" w:lineRule="auto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47592D">
              <w:rPr>
                <w:rFonts w:ascii="Calibri" w:hAnsi="Calibri" w:cs="Calibri"/>
                <w:sz w:val="22"/>
                <w:szCs w:val="22"/>
              </w:rPr>
              <w:t xml:space="preserve">Dębska H., Warczok T., </w:t>
            </w:r>
            <w:r w:rsidRPr="0047592D">
              <w:rPr>
                <w:rFonts w:ascii="Calibri" w:hAnsi="Calibri" w:cs="Calibri"/>
                <w:i/>
                <w:sz w:val="22"/>
                <w:szCs w:val="22"/>
              </w:rPr>
              <w:t>Sakralizacja i profanacja. Trybunał konstytucyjny jako instytucja mityczna</w:t>
            </w:r>
            <w:r w:rsidRPr="0047592D">
              <w:rPr>
                <w:rFonts w:ascii="Calibri" w:hAnsi="Calibri" w:cs="Calibri"/>
                <w:sz w:val="22"/>
                <w:szCs w:val="22"/>
              </w:rPr>
              <w:t>, Państwo i Prawo, nr 5/2018:63-74</w:t>
            </w:r>
          </w:p>
          <w:p w14:paraId="45495271" w14:textId="77777777" w:rsidR="00683258" w:rsidRDefault="00683258" w:rsidP="009B5F75">
            <w:pPr>
              <w:spacing w:line="276" w:lineRule="auto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7592D">
              <w:rPr>
                <w:rFonts w:ascii="Calibri" w:hAnsi="Calibri" w:cs="Calibri"/>
                <w:sz w:val="22"/>
                <w:szCs w:val="22"/>
              </w:rPr>
              <w:t>Dupret</w:t>
            </w:r>
            <w:proofErr w:type="spellEnd"/>
            <w:r w:rsidRPr="0047592D">
              <w:rPr>
                <w:rFonts w:ascii="Calibri" w:hAnsi="Calibri" w:cs="Calibri"/>
                <w:sz w:val="22"/>
                <w:szCs w:val="22"/>
              </w:rPr>
              <w:t xml:space="preserve"> B., </w:t>
            </w:r>
            <w:r w:rsidRPr="0047592D">
              <w:rPr>
                <w:rFonts w:ascii="Calibri" w:hAnsi="Calibri" w:cs="Calibri"/>
                <w:i/>
                <w:sz w:val="22"/>
                <w:szCs w:val="22"/>
              </w:rPr>
              <w:t>Prawo w naukach społecznych</w:t>
            </w:r>
            <w:r w:rsidRPr="0047592D">
              <w:rPr>
                <w:rFonts w:ascii="Calibri" w:hAnsi="Calibri" w:cs="Calibri"/>
                <w:sz w:val="22"/>
                <w:szCs w:val="22"/>
              </w:rPr>
              <w:t xml:space="preserve">, Oficyna Naukowa, Warszawa 2010. (fragmenty) </w:t>
            </w:r>
          </w:p>
          <w:p w14:paraId="30F28F8E" w14:textId="39D05262" w:rsidR="00A131F5" w:rsidRPr="0047592D" w:rsidRDefault="00A131F5" w:rsidP="009B5F75">
            <w:pPr>
              <w:spacing w:line="276" w:lineRule="auto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Goffman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E., Zachowania w miejscach publicznych. PWN, Warszawa (fragmenty)</w:t>
            </w:r>
          </w:p>
          <w:p w14:paraId="28EC83D5" w14:textId="77777777" w:rsidR="00683258" w:rsidRPr="0047592D" w:rsidRDefault="00683258" w:rsidP="009B5F75">
            <w:pPr>
              <w:spacing w:line="276" w:lineRule="auto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7592D">
              <w:rPr>
                <w:rFonts w:ascii="Calibri" w:hAnsi="Calibri" w:cs="Calibri"/>
                <w:sz w:val="22"/>
                <w:szCs w:val="22"/>
              </w:rPr>
              <w:t>Kojder</w:t>
            </w:r>
            <w:proofErr w:type="spellEnd"/>
            <w:r w:rsidRPr="0047592D">
              <w:rPr>
                <w:rFonts w:ascii="Calibri" w:hAnsi="Calibri" w:cs="Calibri"/>
                <w:sz w:val="22"/>
                <w:szCs w:val="22"/>
              </w:rPr>
              <w:t xml:space="preserve"> A., </w:t>
            </w:r>
            <w:r w:rsidRPr="0047592D">
              <w:rPr>
                <w:rFonts w:ascii="Calibri" w:hAnsi="Calibri" w:cs="Calibri"/>
                <w:i/>
                <w:sz w:val="22"/>
                <w:szCs w:val="22"/>
              </w:rPr>
              <w:t>Czytając Durkheima…Co klasyk socjologii ma do powiedzenia na temat prawa</w:t>
            </w:r>
            <w:r w:rsidRPr="0047592D">
              <w:rPr>
                <w:rFonts w:ascii="Calibri" w:hAnsi="Calibri" w:cs="Calibri"/>
                <w:sz w:val="22"/>
                <w:szCs w:val="22"/>
              </w:rPr>
              <w:t xml:space="preserve">, [w:] Prawo-Władza- Społeczeństwo- Polityka, M. </w:t>
            </w:r>
            <w:proofErr w:type="spellStart"/>
            <w:r w:rsidRPr="0047592D">
              <w:rPr>
                <w:rFonts w:ascii="Calibri" w:hAnsi="Calibri" w:cs="Calibri"/>
                <w:sz w:val="22"/>
                <w:szCs w:val="22"/>
              </w:rPr>
              <w:t>Borucka-Arctowa</w:t>
            </w:r>
            <w:proofErr w:type="spellEnd"/>
            <w:r w:rsidRPr="0047592D">
              <w:rPr>
                <w:rFonts w:ascii="Calibri" w:hAnsi="Calibri" w:cs="Calibri"/>
                <w:sz w:val="22"/>
                <w:szCs w:val="22"/>
              </w:rPr>
              <w:t xml:space="preserve">(red.), s.301-313. </w:t>
            </w:r>
          </w:p>
          <w:p w14:paraId="148A407F" w14:textId="77777777" w:rsidR="00683258" w:rsidRPr="0047592D" w:rsidRDefault="00683258" w:rsidP="009B5F75">
            <w:pPr>
              <w:spacing w:line="276" w:lineRule="auto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4759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7592D">
              <w:rPr>
                <w:rFonts w:ascii="Calibri" w:hAnsi="Calibri" w:cs="Calibri"/>
                <w:i/>
                <w:sz w:val="22"/>
                <w:szCs w:val="22"/>
              </w:rPr>
              <w:t>Leksykon socjologii prawa</w:t>
            </w:r>
            <w:r w:rsidRPr="0047592D">
              <w:rPr>
                <w:rFonts w:ascii="Calibri" w:hAnsi="Calibri" w:cs="Calibri"/>
                <w:sz w:val="22"/>
                <w:szCs w:val="22"/>
              </w:rPr>
              <w:t xml:space="preserve">, M. </w:t>
            </w:r>
            <w:proofErr w:type="spellStart"/>
            <w:r w:rsidRPr="0047592D">
              <w:rPr>
                <w:rFonts w:ascii="Calibri" w:hAnsi="Calibri" w:cs="Calibri"/>
                <w:sz w:val="22"/>
                <w:szCs w:val="22"/>
              </w:rPr>
              <w:t>Stepień</w:t>
            </w:r>
            <w:proofErr w:type="spellEnd"/>
            <w:r w:rsidRPr="0047592D">
              <w:rPr>
                <w:rFonts w:ascii="Calibri" w:hAnsi="Calibri" w:cs="Calibri"/>
                <w:sz w:val="22"/>
                <w:szCs w:val="22"/>
              </w:rPr>
              <w:t xml:space="preserve">, A. Kociołek- </w:t>
            </w:r>
            <w:proofErr w:type="spellStart"/>
            <w:r w:rsidRPr="0047592D">
              <w:rPr>
                <w:rFonts w:ascii="Calibri" w:hAnsi="Calibri" w:cs="Calibri"/>
                <w:sz w:val="22"/>
                <w:szCs w:val="22"/>
              </w:rPr>
              <w:t>Pęksa</w:t>
            </w:r>
            <w:proofErr w:type="spellEnd"/>
            <w:r w:rsidRPr="0047592D">
              <w:rPr>
                <w:rFonts w:ascii="Calibri" w:hAnsi="Calibri" w:cs="Calibri"/>
                <w:sz w:val="22"/>
                <w:szCs w:val="22"/>
              </w:rPr>
              <w:t xml:space="preserve"> (red.), C.H. Beck, Warszawa  2013.(wybrane hasła: polityka prawa, Weber, Durkheim, Marks, </w:t>
            </w:r>
            <w:proofErr w:type="spellStart"/>
            <w:r w:rsidRPr="0047592D">
              <w:rPr>
                <w:rFonts w:ascii="Calibri" w:hAnsi="Calibri" w:cs="Calibri"/>
                <w:sz w:val="22"/>
                <w:szCs w:val="22"/>
              </w:rPr>
              <w:t>Bourdieu</w:t>
            </w:r>
            <w:proofErr w:type="spellEnd"/>
            <w:r w:rsidRPr="0047592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7592D">
              <w:rPr>
                <w:rFonts w:ascii="Calibri" w:hAnsi="Calibri" w:cs="Calibri"/>
                <w:sz w:val="22"/>
                <w:szCs w:val="22"/>
              </w:rPr>
              <w:t>Petrażycki</w:t>
            </w:r>
            <w:proofErr w:type="spellEnd"/>
            <w:r w:rsidRPr="0047592D"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4B99454E" w14:textId="302EBC95" w:rsidR="00BF045D" w:rsidRPr="00683258" w:rsidRDefault="00683258" w:rsidP="009B5F75">
            <w:pPr>
              <w:spacing w:line="276" w:lineRule="auto"/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47592D">
              <w:rPr>
                <w:rFonts w:ascii="Calibri" w:hAnsi="Calibri" w:cs="Calibri"/>
                <w:sz w:val="22"/>
                <w:szCs w:val="22"/>
              </w:rPr>
              <w:t xml:space="preserve">Pieniążek A., Stefaniuk M., </w:t>
            </w:r>
            <w:r w:rsidRPr="0047592D">
              <w:rPr>
                <w:rFonts w:ascii="Calibri" w:hAnsi="Calibri" w:cs="Calibri"/>
                <w:i/>
                <w:sz w:val="22"/>
                <w:szCs w:val="22"/>
              </w:rPr>
              <w:t>Socjologia prawa. Zarys wykładu</w:t>
            </w:r>
            <w:r w:rsidRPr="0047592D">
              <w:rPr>
                <w:rFonts w:ascii="Calibri" w:hAnsi="Calibri" w:cs="Calibri"/>
                <w:sz w:val="22"/>
                <w:szCs w:val="22"/>
              </w:rPr>
              <w:t xml:space="preserve">, Wolters Kluwer 2014 (fragmenty) </w:t>
            </w:r>
          </w:p>
        </w:tc>
      </w:tr>
    </w:tbl>
    <w:p w14:paraId="16DB9259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p w14:paraId="45ACD42B" w14:textId="77777777" w:rsidR="009B5F75" w:rsidRDefault="009B5F75" w:rsidP="00BF045D">
      <w:pPr>
        <w:rPr>
          <w:rFonts w:ascii="Arial" w:hAnsi="Arial" w:cs="Arial"/>
          <w:sz w:val="22"/>
          <w:szCs w:val="16"/>
        </w:rPr>
      </w:pPr>
    </w:p>
    <w:p w14:paraId="008A257F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ECD1F59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F045D" w14:paraId="4A5051F6" w14:textId="77777777" w:rsidTr="00C57694">
        <w:trPr>
          <w:trHeight w:val="553"/>
        </w:trPr>
        <w:tc>
          <w:tcPr>
            <w:tcW w:w="9622" w:type="dxa"/>
          </w:tcPr>
          <w:p w14:paraId="058143E5" w14:textId="49F4A2D2" w:rsidR="00683258" w:rsidRPr="00A131F5" w:rsidRDefault="00BF045D" w:rsidP="009B5F75">
            <w:pPr>
              <w:spacing w:line="276" w:lineRule="auto"/>
              <w:ind w:left="567" w:hanging="567"/>
              <w:outlineLvl w:val="2"/>
              <w:rPr>
                <w:sz w:val="22"/>
                <w:szCs w:val="22"/>
              </w:rPr>
            </w:pPr>
            <w:proofErr w:type="spellStart"/>
            <w:r w:rsidRPr="00A131F5">
              <w:rPr>
                <w:sz w:val="22"/>
                <w:szCs w:val="22"/>
              </w:rPr>
              <w:t>Kojder</w:t>
            </w:r>
            <w:proofErr w:type="spellEnd"/>
            <w:r w:rsidRPr="00A131F5">
              <w:rPr>
                <w:sz w:val="22"/>
                <w:szCs w:val="22"/>
              </w:rPr>
              <w:t xml:space="preserve"> Z. Cywiński, Socjologia prawa. Główne problemy i postacie. Wydawnictwo Uniwersytetu Warszawskiego, Warszawa 2020</w:t>
            </w:r>
          </w:p>
          <w:p w14:paraId="2CDB7943" w14:textId="77777777" w:rsidR="00683258" w:rsidRPr="00A131F5" w:rsidRDefault="00683258" w:rsidP="009B5F75">
            <w:pPr>
              <w:spacing w:line="276" w:lineRule="auto"/>
              <w:ind w:left="567" w:hanging="567"/>
              <w:outlineLvl w:val="2"/>
              <w:rPr>
                <w:sz w:val="22"/>
                <w:szCs w:val="22"/>
                <w:lang w:val="en-US"/>
              </w:rPr>
            </w:pPr>
            <w:r w:rsidRPr="00A131F5">
              <w:rPr>
                <w:sz w:val="22"/>
                <w:szCs w:val="22"/>
                <w:lang w:val="en-US"/>
              </w:rPr>
              <w:t xml:space="preserve">Bourdieu P., The Force of Law. Toward the Juridical Field, “The Hastings Law Journal”, vol. 38, 1987, s. 805- 853. </w:t>
            </w:r>
          </w:p>
          <w:p w14:paraId="2E892461" w14:textId="7AC7CEE9" w:rsidR="00683258" w:rsidRPr="00A131F5" w:rsidRDefault="00683258" w:rsidP="009B5F75">
            <w:pPr>
              <w:spacing w:line="276" w:lineRule="auto"/>
              <w:ind w:left="567" w:hanging="567"/>
              <w:outlineLvl w:val="2"/>
              <w:rPr>
                <w:sz w:val="22"/>
                <w:szCs w:val="22"/>
                <w:lang w:val="en-US"/>
              </w:rPr>
            </w:pPr>
            <w:proofErr w:type="spellStart"/>
            <w:r w:rsidRPr="00A131F5">
              <w:rPr>
                <w:sz w:val="22"/>
                <w:szCs w:val="22"/>
                <w:lang w:val="en-US"/>
              </w:rPr>
              <w:t>Cotterel</w:t>
            </w:r>
            <w:proofErr w:type="spellEnd"/>
            <w:r w:rsidRPr="00A131F5">
              <w:rPr>
                <w:sz w:val="22"/>
                <w:szCs w:val="22"/>
                <w:lang w:val="en-US"/>
              </w:rPr>
              <w:t xml:space="preserve"> R., Law’s Community: Legal Theory in Sociological Perspective, Clarendon Press 1996. </w:t>
            </w:r>
          </w:p>
          <w:p w14:paraId="5E45580E" w14:textId="77777777" w:rsidR="00683258" w:rsidRPr="00A131F5" w:rsidRDefault="00683258" w:rsidP="009B5F75">
            <w:pPr>
              <w:spacing w:line="276" w:lineRule="auto"/>
              <w:ind w:left="567" w:hanging="567"/>
              <w:contextualSpacing/>
              <w:rPr>
                <w:sz w:val="22"/>
                <w:szCs w:val="22"/>
              </w:rPr>
            </w:pPr>
            <w:proofErr w:type="spellStart"/>
            <w:r w:rsidRPr="00A131F5">
              <w:rPr>
                <w:sz w:val="22"/>
                <w:szCs w:val="22"/>
              </w:rPr>
              <w:t>Debska</w:t>
            </w:r>
            <w:proofErr w:type="spellEnd"/>
            <w:r w:rsidRPr="00A131F5">
              <w:rPr>
                <w:sz w:val="22"/>
                <w:szCs w:val="22"/>
              </w:rPr>
              <w:t xml:space="preserve"> H., Władza. Symbol. Prawo. Społeczne tworzenie Trybunału Konstytucyjnego, Wydawnictwo Sejmowe 2015. (fragmenty) </w:t>
            </w:r>
          </w:p>
          <w:p w14:paraId="0A7E8A10" w14:textId="33834E65" w:rsidR="00A131F5" w:rsidRPr="00A131F5" w:rsidRDefault="00A131F5" w:rsidP="009B5F75">
            <w:pPr>
              <w:spacing w:line="276" w:lineRule="auto"/>
              <w:ind w:left="567" w:hanging="567"/>
              <w:contextualSpacing/>
              <w:rPr>
                <w:sz w:val="22"/>
                <w:szCs w:val="22"/>
              </w:rPr>
            </w:pPr>
            <w:r w:rsidRPr="00A131F5">
              <w:rPr>
                <w:sz w:val="22"/>
                <w:szCs w:val="22"/>
              </w:rPr>
              <w:t xml:space="preserve">Collins R., Łańcuchy rytuałów interakcyjnych, </w:t>
            </w:r>
            <w:proofErr w:type="spellStart"/>
            <w:r w:rsidRPr="00A131F5">
              <w:rPr>
                <w:sz w:val="22"/>
                <w:szCs w:val="22"/>
              </w:rPr>
              <w:t>Nomos</w:t>
            </w:r>
            <w:proofErr w:type="spellEnd"/>
            <w:r w:rsidRPr="00A131F5">
              <w:rPr>
                <w:sz w:val="22"/>
                <w:szCs w:val="22"/>
              </w:rPr>
              <w:t>, Kraków 2011. (fragmenty)</w:t>
            </w:r>
          </w:p>
          <w:p w14:paraId="2550017B" w14:textId="77777777" w:rsidR="00683258" w:rsidRPr="00A131F5" w:rsidRDefault="00683258" w:rsidP="009B5F75">
            <w:pPr>
              <w:spacing w:line="276" w:lineRule="auto"/>
              <w:ind w:left="567" w:hanging="567"/>
              <w:contextualSpacing/>
              <w:rPr>
                <w:sz w:val="22"/>
                <w:szCs w:val="22"/>
              </w:rPr>
            </w:pPr>
            <w:r w:rsidRPr="00A131F5">
              <w:rPr>
                <w:sz w:val="22"/>
                <w:szCs w:val="22"/>
              </w:rPr>
              <w:t xml:space="preserve">Douglas M., Czystość i zmaza. Analiza pojęć nieczystości i tabu, PWN, Warszawa 2007. (fragmenty) </w:t>
            </w:r>
          </w:p>
          <w:p w14:paraId="095590D9" w14:textId="77777777" w:rsidR="00683258" w:rsidRPr="00A131F5" w:rsidRDefault="00683258" w:rsidP="009B5F75">
            <w:pPr>
              <w:pStyle w:val="Default"/>
              <w:spacing w:line="276" w:lineRule="auto"/>
              <w:ind w:left="567" w:hanging="567"/>
              <w:rPr>
                <w:color w:val="auto"/>
                <w:sz w:val="22"/>
                <w:szCs w:val="22"/>
              </w:rPr>
            </w:pPr>
            <w:r w:rsidRPr="00A131F5">
              <w:rPr>
                <w:color w:val="auto"/>
                <w:sz w:val="22"/>
                <w:szCs w:val="22"/>
              </w:rPr>
              <w:t xml:space="preserve">Foucault M., </w:t>
            </w:r>
            <w:r w:rsidRPr="00A131F5">
              <w:rPr>
                <w:i/>
                <w:color w:val="auto"/>
                <w:sz w:val="22"/>
                <w:szCs w:val="22"/>
              </w:rPr>
              <w:t>Wiedza i władza</w:t>
            </w:r>
            <w:r w:rsidRPr="00A131F5">
              <w:rPr>
                <w:color w:val="auto"/>
                <w:sz w:val="22"/>
                <w:szCs w:val="22"/>
              </w:rPr>
              <w:t xml:space="preserve"> [w:]</w:t>
            </w:r>
            <w:r w:rsidRPr="00A131F5">
              <w:rPr>
                <w:i/>
                <w:color w:val="auto"/>
                <w:sz w:val="22"/>
                <w:szCs w:val="22"/>
              </w:rPr>
              <w:t>Współczesne teorie socjologiczne</w:t>
            </w:r>
            <w:r w:rsidRPr="00A131F5">
              <w:rPr>
                <w:color w:val="auto"/>
                <w:sz w:val="22"/>
                <w:szCs w:val="22"/>
              </w:rPr>
              <w:t xml:space="preserve">, A. Jasińska-Kania, L. M. </w:t>
            </w:r>
            <w:proofErr w:type="spellStart"/>
            <w:r w:rsidRPr="00A131F5">
              <w:rPr>
                <w:color w:val="auto"/>
                <w:sz w:val="22"/>
                <w:szCs w:val="22"/>
              </w:rPr>
              <w:t>Nijakowski</w:t>
            </w:r>
            <w:proofErr w:type="spellEnd"/>
            <w:r w:rsidRPr="00A131F5">
              <w:rPr>
                <w:color w:val="auto"/>
                <w:sz w:val="22"/>
                <w:szCs w:val="22"/>
              </w:rPr>
              <w:t>, J. Szacki, M. Ziółkowski (red.), Wyd. Naukowe SCHOLAR, Warszawa 2006, s. 537-54.</w:t>
            </w:r>
          </w:p>
          <w:p w14:paraId="7673077B" w14:textId="77777777" w:rsidR="00683258" w:rsidRPr="00A131F5" w:rsidRDefault="00683258" w:rsidP="009B5F75">
            <w:pPr>
              <w:spacing w:line="276" w:lineRule="auto"/>
              <w:ind w:left="567" w:hanging="567"/>
              <w:contextualSpacing/>
              <w:rPr>
                <w:sz w:val="22"/>
                <w:szCs w:val="22"/>
              </w:rPr>
            </w:pPr>
            <w:proofErr w:type="spellStart"/>
            <w:r w:rsidRPr="00A131F5">
              <w:rPr>
                <w:sz w:val="22"/>
                <w:szCs w:val="22"/>
              </w:rPr>
              <w:t>Goffman</w:t>
            </w:r>
            <w:proofErr w:type="spellEnd"/>
            <w:r w:rsidRPr="00A131F5">
              <w:rPr>
                <w:sz w:val="22"/>
                <w:szCs w:val="22"/>
              </w:rPr>
              <w:t xml:space="preserve"> E., Charakterystyka instytucji totalnych, [w:] Elementy teorii socjologicznych, PWN, Warszawa 1975, s. 150-177. </w:t>
            </w:r>
          </w:p>
          <w:p w14:paraId="47E57CE1" w14:textId="77777777" w:rsidR="00683258" w:rsidRPr="00A131F5" w:rsidRDefault="00683258" w:rsidP="009B5F75">
            <w:pPr>
              <w:spacing w:line="276" w:lineRule="auto"/>
              <w:ind w:left="567" w:hanging="567"/>
              <w:contextualSpacing/>
              <w:rPr>
                <w:sz w:val="22"/>
                <w:szCs w:val="22"/>
              </w:rPr>
            </w:pPr>
            <w:proofErr w:type="spellStart"/>
            <w:r w:rsidRPr="00A131F5">
              <w:rPr>
                <w:sz w:val="22"/>
                <w:szCs w:val="22"/>
              </w:rPr>
              <w:t>Kertzer</w:t>
            </w:r>
            <w:proofErr w:type="spellEnd"/>
            <w:r w:rsidRPr="00A131F5">
              <w:rPr>
                <w:sz w:val="22"/>
                <w:szCs w:val="22"/>
              </w:rPr>
              <w:t xml:space="preserve"> D. I, Rytuał, polityka, władza, Volumen, Warszawa 2010. (fragmenty)</w:t>
            </w:r>
          </w:p>
          <w:p w14:paraId="49173F62" w14:textId="77777777" w:rsidR="00683258" w:rsidRPr="00A131F5" w:rsidRDefault="00683258" w:rsidP="009B5F75">
            <w:pPr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A131F5">
              <w:rPr>
                <w:sz w:val="22"/>
                <w:szCs w:val="22"/>
              </w:rPr>
              <w:t xml:space="preserve">Weber M., fragm. o biurokracji, [w:] A. Giddens, </w:t>
            </w:r>
            <w:r w:rsidRPr="00A131F5">
              <w:rPr>
                <w:i/>
                <w:sz w:val="22"/>
                <w:szCs w:val="22"/>
              </w:rPr>
              <w:t>Socjologia</w:t>
            </w:r>
            <w:r w:rsidRPr="00A131F5">
              <w:rPr>
                <w:sz w:val="22"/>
                <w:szCs w:val="22"/>
              </w:rPr>
              <w:t>, PWN 208, r.12, s. 369-70. 13.</w:t>
            </w:r>
          </w:p>
          <w:p w14:paraId="1BE77E6D" w14:textId="77777777" w:rsidR="00683258" w:rsidRPr="00A131F5" w:rsidRDefault="00683258" w:rsidP="009B5F75">
            <w:pPr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A131F5">
              <w:rPr>
                <w:sz w:val="22"/>
                <w:szCs w:val="22"/>
              </w:rPr>
              <w:t xml:space="preserve">Weber M., </w:t>
            </w:r>
            <w:r w:rsidRPr="00A131F5">
              <w:rPr>
                <w:i/>
                <w:sz w:val="22"/>
                <w:szCs w:val="22"/>
              </w:rPr>
              <w:t>Trzy czyste typy panowania</w:t>
            </w:r>
            <w:r w:rsidRPr="00A131F5">
              <w:rPr>
                <w:sz w:val="22"/>
                <w:szCs w:val="22"/>
              </w:rPr>
              <w:t xml:space="preserve">, P. Sztompka , Socjologia. Lektury, s. 470 -491. </w:t>
            </w:r>
          </w:p>
          <w:p w14:paraId="1AE9DDB0" w14:textId="77777777" w:rsidR="00683258" w:rsidRPr="00A131F5" w:rsidRDefault="00683258" w:rsidP="009B5F75">
            <w:pPr>
              <w:spacing w:line="276" w:lineRule="auto"/>
              <w:ind w:left="567" w:hanging="567"/>
              <w:rPr>
                <w:sz w:val="22"/>
                <w:szCs w:val="22"/>
              </w:rPr>
            </w:pPr>
            <w:proofErr w:type="spellStart"/>
            <w:r w:rsidRPr="00A131F5">
              <w:rPr>
                <w:sz w:val="22"/>
                <w:szCs w:val="22"/>
              </w:rPr>
              <w:t>Ritzer</w:t>
            </w:r>
            <w:proofErr w:type="spellEnd"/>
            <w:r w:rsidRPr="00A131F5">
              <w:rPr>
                <w:sz w:val="22"/>
                <w:szCs w:val="22"/>
              </w:rPr>
              <w:t xml:space="preserve"> G., </w:t>
            </w:r>
            <w:proofErr w:type="spellStart"/>
            <w:r w:rsidRPr="00A131F5">
              <w:rPr>
                <w:sz w:val="22"/>
                <w:szCs w:val="22"/>
              </w:rPr>
              <w:t>Macdonaldyzacja</w:t>
            </w:r>
            <w:proofErr w:type="spellEnd"/>
            <w:r w:rsidRPr="00A131F5">
              <w:rPr>
                <w:sz w:val="22"/>
                <w:szCs w:val="22"/>
              </w:rPr>
              <w:t xml:space="preserve"> społeczeństwa, Warszawa 2008 (fragmenty) </w:t>
            </w:r>
          </w:p>
          <w:p w14:paraId="18EA645C" w14:textId="77777777" w:rsidR="00683258" w:rsidRPr="00A131F5" w:rsidRDefault="00683258" w:rsidP="009B5F75">
            <w:pPr>
              <w:spacing w:line="276" w:lineRule="auto"/>
              <w:ind w:left="567" w:hanging="567"/>
              <w:rPr>
                <w:sz w:val="22"/>
                <w:szCs w:val="22"/>
              </w:rPr>
            </w:pPr>
            <w:proofErr w:type="spellStart"/>
            <w:r w:rsidRPr="00A131F5">
              <w:rPr>
                <w:sz w:val="22"/>
                <w:szCs w:val="22"/>
              </w:rPr>
              <w:t>Zimbardo</w:t>
            </w:r>
            <w:proofErr w:type="spellEnd"/>
            <w:r w:rsidRPr="00A131F5">
              <w:rPr>
                <w:sz w:val="22"/>
                <w:szCs w:val="22"/>
              </w:rPr>
              <w:t xml:space="preserve"> P., Efekt Lucyfera, PWN, Warszawa 2008 (fragmenty). </w:t>
            </w:r>
          </w:p>
          <w:p w14:paraId="7318D278" w14:textId="77777777" w:rsidR="00683258" w:rsidRPr="00A131F5" w:rsidRDefault="00683258" w:rsidP="009B5F75">
            <w:pPr>
              <w:spacing w:line="276" w:lineRule="auto"/>
              <w:ind w:left="567" w:hanging="567"/>
              <w:contextualSpacing/>
              <w:rPr>
                <w:sz w:val="22"/>
                <w:szCs w:val="22"/>
              </w:rPr>
            </w:pPr>
            <w:r w:rsidRPr="00A131F5">
              <w:rPr>
                <w:sz w:val="22"/>
                <w:szCs w:val="22"/>
              </w:rPr>
              <w:t xml:space="preserve">Arendt H., </w:t>
            </w:r>
            <w:proofErr w:type="spellStart"/>
            <w:r w:rsidRPr="00A131F5">
              <w:rPr>
                <w:sz w:val="22"/>
                <w:szCs w:val="22"/>
              </w:rPr>
              <w:t>Eichaman</w:t>
            </w:r>
            <w:proofErr w:type="spellEnd"/>
            <w:r w:rsidRPr="00A131F5">
              <w:rPr>
                <w:sz w:val="22"/>
                <w:szCs w:val="22"/>
              </w:rPr>
              <w:t xml:space="preserve"> w Jerozolimie. Rzecz o banalności zła, Znak, Warszawa (fragmenty) </w:t>
            </w:r>
          </w:p>
          <w:p w14:paraId="1A4F3683" w14:textId="77777777" w:rsidR="00683258" w:rsidRPr="00A131F5" w:rsidRDefault="00683258" w:rsidP="009B5F75">
            <w:pPr>
              <w:spacing w:line="276" w:lineRule="auto"/>
              <w:ind w:left="567" w:hanging="567"/>
              <w:contextualSpacing/>
              <w:rPr>
                <w:sz w:val="22"/>
                <w:szCs w:val="22"/>
              </w:rPr>
            </w:pPr>
            <w:r w:rsidRPr="00A131F5">
              <w:rPr>
                <w:sz w:val="22"/>
                <w:szCs w:val="22"/>
              </w:rPr>
              <w:t xml:space="preserve">Aronson E., </w:t>
            </w:r>
            <w:proofErr w:type="spellStart"/>
            <w:r w:rsidRPr="00A131F5">
              <w:rPr>
                <w:sz w:val="22"/>
                <w:szCs w:val="22"/>
              </w:rPr>
              <w:t>Akert</w:t>
            </w:r>
            <w:proofErr w:type="spellEnd"/>
            <w:r w:rsidRPr="00A131F5">
              <w:rPr>
                <w:sz w:val="22"/>
                <w:szCs w:val="22"/>
              </w:rPr>
              <w:t xml:space="preserve"> R.M., </w:t>
            </w:r>
            <w:r w:rsidRPr="00A131F5">
              <w:rPr>
                <w:i/>
                <w:sz w:val="22"/>
                <w:szCs w:val="22"/>
              </w:rPr>
              <w:t>Psychologia społeczna</w:t>
            </w:r>
            <w:r w:rsidRPr="00A131F5">
              <w:rPr>
                <w:sz w:val="22"/>
                <w:szCs w:val="22"/>
              </w:rPr>
              <w:t>, Z-</w:t>
            </w:r>
            <w:proofErr w:type="spellStart"/>
            <w:r w:rsidRPr="00A131F5">
              <w:rPr>
                <w:sz w:val="22"/>
                <w:szCs w:val="22"/>
              </w:rPr>
              <w:t>ysk</w:t>
            </w:r>
            <w:proofErr w:type="spellEnd"/>
            <w:r w:rsidRPr="00A131F5">
              <w:rPr>
                <w:sz w:val="22"/>
                <w:szCs w:val="22"/>
              </w:rPr>
              <w:t xml:space="preserve"> i Ska, Warszawa 2012 (fragmenty)  </w:t>
            </w:r>
          </w:p>
          <w:p w14:paraId="2E388B9A" w14:textId="6BEB0F3C" w:rsidR="00683258" w:rsidRPr="00683258" w:rsidRDefault="00683258" w:rsidP="009B5F75">
            <w:pPr>
              <w:spacing w:line="276" w:lineRule="auto"/>
              <w:ind w:left="567" w:hanging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131F5">
              <w:rPr>
                <w:sz w:val="22"/>
                <w:szCs w:val="22"/>
              </w:rPr>
              <w:t>Bauman z., Nowoczesność i zagłada, Warszawa 1993 (fragmenty)</w:t>
            </w:r>
          </w:p>
        </w:tc>
      </w:tr>
    </w:tbl>
    <w:p w14:paraId="17AF3AF0" w14:textId="383C9D43" w:rsidR="00C57694" w:rsidRDefault="00C57694" w:rsidP="00BF045D">
      <w:pPr>
        <w:pStyle w:val="Tekstdymka1"/>
        <w:rPr>
          <w:rFonts w:ascii="Arial" w:hAnsi="Arial" w:cs="Arial"/>
          <w:sz w:val="22"/>
        </w:rPr>
      </w:pPr>
    </w:p>
    <w:p w14:paraId="0869F0EE" w14:textId="77777777" w:rsidR="00C57694" w:rsidRDefault="00C57694">
      <w:pPr>
        <w:widowControl/>
        <w:suppressAutoHyphens w:val="0"/>
        <w:autoSpaceDE/>
        <w:spacing w:after="160" w:line="259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</w:rPr>
        <w:br w:type="page"/>
      </w:r>
    </w:p>
    <w:p w14:paraId="4762E6CA" w14:textId="77777777" w:rsidR="00BF045D" w:rsidRDefault="00BF045D" w:rsidP="00BF045D">
      <w:pPr>
        <w:pStyle w:val="Tekstdymka1"/>
        <w:rPr>
          <w:rFonts w:ascii="Arial" w:hAnsi="Arial" w:cs="Arial"/>
          <w:sz w:val="22"/>
        </w:rPr>
      </w:pPr>
    </w:p>
    <w:p w14:paraId="3874CFD8" w14:textId="77777777" w:rsidR="00BF045D" w:rsidRDefault="00BF045D" w:rsidP="00BF045D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74567652" w14:textId="77777777" w:rsidR="00BF045D" w:rsidRDefault="00BF045D" w:rsidP="00BF045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F045D" w14:paraId="1610C854" w14:textId="77777777" w:rsidTr="00F72A8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406145C" w14:textId="77777777" w:rsidR="00BF045D" w:rsidRDefault="00BF045D" w:rsidP="00F72A8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6847EEE7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AA4F9D2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BF045D" w14:paraId="5AD29D8B" w14:textId="77777777" w:rsidTr="00F72A8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CE20C98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709E109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10AEA7D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045D" w14:paraId="35E334F2" w14:textId="77777777" w:rsidTr="00F72A8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CF2B90F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6B24CF0" w14:textId="77777777" w:rsidR="00BF045D" w:rsidRDefault="00BF045D" w:rsidP="00F72A8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13E80E1" w14:textId="56C2848F" w:rsidR="00BF045D" w:rsidRDefault="00BF045D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045D" w14:paraId="0FD54AB2" w14:textId="77777777" w:rsidTr="00F72A8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872EF65" w14:textId="77777777" w:rsidR="00BF045D" w:rsidRDefault="00BF045D" w:rsidP="00F72A8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1C56DA79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B081332" w14:textId="373162D6" w:rsidR="00BF045D" w:rsidRDefault="002D49A7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F045D" w14:paraId="5C696313" w14:textId="77777777" w:rsidTr="00F72A8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49F46DD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D6E489A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AE41E40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045D" w14:paraId="2F454485" w14:textId="77777777" w:rsidTr="00F72A8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20ACA56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3011771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BED077E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F045D" w14:paraId="2C58BFCB" w14:textId="77777777" w:rsidTr="00F72A8B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F626156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C3CCA80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3317B6C" w14:textId="4954F035" w:rsidR="00BF045D" w:rsidRDefault="00683258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F045D" w14:paraId="7314F0DA" w14:textId="77777777" w:rsidTr="00F72A8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3C29540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AE4B588" w14:textId="3A85AC84" w:rsidR="00BF045D" w:rsidRDefault="002D49A7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BF045D" w14:paraId="614A81C0" w14:textId="77777777" w:rsidTr="00F72A8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568E238" w14:textId="77777777" w:rsidR="00BF045D" w:rsidRDefault="00BF045D" w:rsidP="00F72A8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3BB3E1C" w14:textId="77777777" w:rsidR="00BF045D" w:rsidRDefault="00D42D47" w:rsidP="00F72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02608AD4" w14:textId="77777777" w:rsidR="00BF045D" w:rsidRDefault="00BF045D" w:rsidP="00BF045D">
      <w:pPr>
        <w:pStyle w:val="Tekstdymka1"/>
        <w:rPr>
          <w:rFonts w:ascii="Arial" w:hAnsi="Arial" w:cs="Arial"/>
          <w:sz w:val="22"/>
        </w:rPr>
      </w:pPr>
    </w:p>
    <w:p w14:paraId="4CBAA5F4" w14:textId="77777777" w:rsidR="00BF045D" w:rsidRDefault="00BF045D" w:rsidP="00BF045D"/>
    <w:p w14:paraId="2F7D71A9" w14:textId="77777777" w:rsidR="00330662" w:rsidRDefault="00330662"/>
    <w:sectPr w:rsidR="00330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9920" w14:textId="77777777" w:rsidR="003B4888" w:rsidRDefault="003B4888">
      <w:r>
        <w:separator/>
      </w:r>
    </w:p>
  </w:endnote>
  <w:endnote w:type="continuationSeparator" w:id="0">
    <w:p w14:paraId="71C1D0C1" w14:textId="77777777" w:rsidR="003B4888" w:rsidRDefault="003B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5311" w14:textId="77777777" w:rsidR="00303F50" w:rsidRDefault="008A24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5A72" w14:textId="77777777" w:rsidR="00303F50" w:rsidRDefault="00BF045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6277">
      <w:rPr>
        <w:noProof/>
      </w:rPr>
      <w:t>1</w:t>
    </w:r>
    <w:r>
      <w:fldChar w:fldCharType="end"/>
    </w:r>
  </w:p>
  <w:p w14:paraId="18847EF0" w14:textId="77777777" w:rsidR="00303F50" w:rsidRDefault="008A24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CCC5" w14:textId="77777777" w:rsidR="00303F50" w:rsidRDefault="008A2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5731" w14:textId="77777777" w:rsidR="003B4888" w:rsidRDefault="003B4888">
      <w:r>
        <w:separator/>
      </w:r>
    </w:p>
  </w:footnote>
  <w:footnote w:type="continuationSeparator" w:id="0">
    <w:p w14:paraId="1DDD40F0" w14:textId="77777777" w:rsidR="003B4888" w:rsidRDefault="003B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8AE8" w14:textId="77777777" w:rsidR="00303F50" w:rsidRDefault="008A2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4ED7" w14:textId="77777777" w:rsidR="00303F50" w:rsidRDefault="008A24EE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B3FC" w14:textId="77777777" w:rsidR="00303F50" w:rsidRDefault="008A2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DAA357C"/>
    <w:multiLevelType w:val="hybridMultilevel"/>
    <w:tmpl w:val="6FCC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FB1"/>
    <w:multiLevelType w:val="hybridMultilevel"/>
    <w:tmpl w:val="A756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C1829"/>
    <w:multiLevelType w:val="hybridMultilevel"/>
    <w:tmpl w:val="550052BC"/>
    <w:lvl w:ilvl="0" w:tplc="F2E4CF9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6BE614BF"/>
    <w:multiLevelType w:val="hybridMultilevel"/>
    <w:tmpl w:val="8616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E28B8"/>
    <w:multiLevelType w:val="hybridMultilevel"/>
    <w:tmpl w:val="B35A03F2"/>
    <w:lvl w:ilvl="0" w:tplc="5A3407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0740B1"/>
    <w:multiLevelType w:val="hybridMultilevel"/>
    <w:tmpl w:val="4C18C33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5D"/>
    <w:rsid w:val="000053D6"/>
    <w:rsid w:val="000C7296"/>
    <w:rsid w:val="00115F29"/>
    <w:rsid w:val="001B055A"/>
    <w:rsid w:val="001C1669"/>
    <w:rsid w:val="002D49A7"/>
    <w:rsid w:val="002E6E77"/>
    <w:rsid w:val="002F1ED6"/>
    <w:rsid w:val="003117C8"/>
    <w:rsid w:val="0032407F"/>
    <w:rsid w:val="00330662"/>
    <w:rsid w:val="003B4888"/>
    <w:rsid w:val="00436879"/>
    <w:rsid w:val="00480FD7"/>
    <w:rsid w:val="004A7BFC"/>
    <w:rsid w:val="004B0D7E"/>
    <w:rsid w:val="00525AF2"/>
    <w:rsid w:val="00532C66"/>
    <w:rsid w:val="005440D6"/>
    <w:rsid w:val="00546277"/>
    <w:rsid w:val="005721C6"/>
    <w:rsid w:val="005C2672"/>
    <w:rsid w:val="00683258"/>
    <w:rsid w:val="006A3B44"/>
    <w:rsid w:val="00773748"/>
    <w:rsid w:val="00837479"/>
    <w:rsid w:val="009151CD"/>
    <w:rsid w:val="00957412"/>
    <w:rsid w:val="009B5F75"/>
    <w:rsid w:val="009F74A2"/>
    <w:rsid w:val="00A131F5"/>
    <w:rsid w:val="00BB0C65"/>
    <w:rsid w:val="00BF045D"/>
    <w:rsid w:val="00BF13DB"/>
    <w:rsid w:val="00C57694"/>
    <w:rsid w:val="00D42D47"/>
    <w:rsid w:val="00D46385"/>
    <w:rsid w:val="00D679D3"/>
    <w:rsid w:val="00E3031C"/>
    <w:rsid w:val="00E3670C"/>
    <w:rsid w:val="00E471D1"/>
    <w:rsid w:val="00E75AD4"/>
    <w:rsid w:val="00E96801"/>
    <w:rsid w:val="00ED54FF"/>
    <w:rsid w:val="00F76FEC"/>
    <w:rsid w:val="00F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371A"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4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045D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45D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BF045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F045D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BF045D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BF04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F045D"/>
    <w:pPr>
      <w:suppressLineNumbers/>
    </w:pPr>
  </w:style>
  <w:style w:type="paragraph" w:customStyle="1" w:styleId="Tekstdymka1">
    <w:name w:val="Tekst dymka1"/>
    <w:basedOn w:val="Normalny"/>
    <w:rsid w:val="00BF04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045D"/>
    <w:pPr>
      <w:widowControl/>
      <w:suppressAutoHyphens w:val="0"/>
      <w:autoSpaceDE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04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04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83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832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2">
    <w:name w:val="Tekst dymka2"/>
    <w:basedOn w:val="Normalny"/>
    <w:rsid w:val="006832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32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8849</Characters>
  <Application>Microsoft Office Word</Application>
  <DocSecurity>0</DocSecurity>
  <Lines>128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Michał Warchala</cp:lastModifiedBy>
  <cp:revision>2</cp:revision>
  <dcterms:created xsi:type="dcterms:W3CDTF">2022-04-04T10:33:00Z</dcterms:created>
  <dcterms:modified xsi:type="dcterms:W3CDTF">2022-04-04T10:33:00Z</dcterms:modified>
</cp:coreProperties>
</file>